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6628-2013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6628-2013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13 de noviembre de 2013, la Procuradora de los Tribunales doña Mar Martínez Bueno, en nombre y representación de don Carlos Quintana Peña, interpuso demanda de amparo contra la providencia de 26 de septiembre de 2013, dictada por el Juzgado de Primera Instancia núm. 24 de Sevilla en el procedimiento de juicio ordinario núm. 963-2008, que inadmitió el incidente de nulidad de actuaciones formalizado contra la Sentencia núm. 48/2010, de 3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aduce que la providencia citada, que cerró el proceso, se caracteriza por su más absoluta falta de motivación en la inadmisión del mencionado remedio procesal, por lo que resultaría contraria al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solicita la suspensión de la ejecución de la Sentencia dictada en el proceso, que estimó la demanda de una comunidad de propietarios contra el demandante y otra persona y declaró “la ilegalidad de la obra consistente en la comunicación a través de una escalera interior rompiendo el forjado —el local comercial núm. 1 bis en planta baja, con el local letra b) en planta sótano—, condenándole “a derruir lo construido y a volver las cosas a su primitivo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21 de julio de 2014, la Sección Cuarta de este Tribunal acordó admitir a trámite el recurso de amparo y, habiéndose interesado previamente la remisión de la certificación de las actuaciones jurisdiccionales, en aplicación de lo dispuesto en el art. 51 de la Ley Orgánica del Tribunal Constitucional (LOTC), dirigir comunicación al Juzgado de Primera Instancia núm. 24 de Sevilla a fin de que, en el plazo de diez días, emplazara a quienes hubieran sido parte en el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Sección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29 de julio de 2014 el recurrente presentó en el Registro General de este Tribunal su escrito de alegaciones. Sostiene que, si no se paralizara la ejecución de la Sentencia dictada en el proceso, tendría que llevar a cabo la tarea de destrucción y restauración de un forjado, con la complicación que ello comporta, pudiendo resultar, de estimarse posteriormente el presente recurso, que el mismo perdiera su razón de ser.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día 9 de septiembre de 2014, el Ministerio Fiscal presentó su escrito de alegaciones, oponiéndose a la suspensión solicitada. Considera que la resolución recurrida tiene un claro contenido patrimonial y que, siendo cierto que es más compleja la retroacción de una obligación de hacer que la obligación de entregar algo, ello no obsta a que el perjuicio que pudiera irrogarse al demandante —caso de prosperar el recurso de amparo una vez derruida la obra controvertida— podría ser compensado con una nueva obra de reconstrucción o con la correspondiente indemnización.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el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por lo que esta medida cautelar resulta pertinente únicamente si la ejecución del fallo causa al solicitante de amparo un perjuicio irreparable, debiendo entenderse por tal aquel que provoque que el restablecimiento del recurrente en los derechos fundamentales cuya vulneración denuncia sea tardío e impida definitivamente que la restauración sea efectiva (por todos, recientemente, ATC 90/2014, de 27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este Tribunal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(por ejemplo,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viene de recordar en el fundamento jurídico anterior, criterio decisivo para la estimación de la suspensión instada en un recurso de amparo es la irreparabilidad del perjuicio ocasionado por la ejecución del fallo. En el presente supuesto, el recurrente solicita la suspensión de la ejecución de una sentencia que condena a quien nos formula la queja a derruir la construcción que realizó, consistente en la comunicación a través de una pasarela de un local comercial y un almacén ubicado en la planta sótano, restituyendo el edificio a su estado primitivo.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expuesto, es evidente que la ejecución no afecta a la residencia del demandante, circunstancia ésta que, cuando acontece, aporta un dato de especial valoración en el test de irreparabilidad del perjuicio (ATC 165/2012, de 17 de septiembre, FJ 3). En el caso a examen, se trata de la unión de dos locales y, aunque la ejecución de la Sentencia causaría evidentes perturbaciones y molestias, los perjuicios no resultarían irreparables pues, en la hipótesis de que se estimase el presente recurso de amparo, con revocación de la Sentencia del Juzgado de Primera Instancia núm. 24 de Sevilla, los mismos podrían ser remediados por diferentes vías. Y entre ellas, no cabe descartar la de la indemnización económica correspondiente a satisfacer por la parte actora del proceso civil si ésta, pendiente aún de resolver este recurso, instase la ejecución de la resolución judicial cuya suspensión se pide en esta sede constitucional (ATC 144/1994, de 25 de abril,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