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6628-2013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6628-2013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13 de noviembre de 2013, la Procuradora de los Tribunales doña Mar Martínez Bueno, en nombre y representación de don Carlos Quintana Peña, interpuso demanda de amparo contra la providencia de 26 de septiembre de 2013, dictada por el Juzgado de Primera Instancia núm. 24 de Sevilla en el procedimiento de juicio ordinario núm. 963-2008, que inadmitió el incidente de nulidad de actuaciones formalizado contra la Sentencia núm. 48/2010, de 3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aduce que la providencia citada, que cerró el proceso, se caracteriza por su más absoluta falta de motivación en la inadmisión del mencionado remedio procesal, por lo que resultaría contraria 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 la suspensión de la ejecución de la Sentencia dictada en el proceso, que estimó la demanda de una comunidad de propietarios contra el demandante y otra persona y declaró “la ilegalidad de la obra consistente en la comunicación a través de una escalera interior rompiendo el forjado —el local comercial núm. 1 bis en planta baja, con el local letra b) en planta sótano—, condenándole “a derruir lo construido y a volver las cosas a su primitivo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21 de julio de 2014, la Sección Cuarta de este Tribunal acordó admitir a trámite el recurso de amparo y, habiéndose interesado previamente la remisión de la certificación de las actuaciones jurisdiccionales, en aplicación de lo dispuesto en el art. 51 de la Ley Orgánica del Tribunal Constitucional (LOTC), dirigir comunicación al Juzgado de Primera Instancia núm. 24 de Sevilla a fin de que, en el plazo de diez días, emplazara a quienes hubieran sido parte en 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Sección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29 de julio de 2014 el recurrente presentó en el Registro General de este Tribunal su escrito de alegaciones. Sostiene que, si no se paralizara la ejecución de la Sentencia dictada en el proceso, tendría que llevar a cabo la tarea de destrucción y restauración de un forjado, con la complicación que ello comporta, pudiendo resultar, de estimarse posteriormente el presente recurso, que el mismo perdiera su razón de ser.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9 de septiembre de 2014, el Ministerio Fiscal presentó su escrito de alegaciones, oponiéndose a la suspensión solicitada. Considera que la resolución recurrida tiene un claro contenido patrimonial y que, siendo cierto que es más compleja la retroacción de una obligación de hacer que la obligación de entregar algo, ello no obsta a que el perjuicio que pudiera irrogarse al demandante —caso de prosperar el recurso de amparo una vez derruida la obra controvertida— podría ser compensado con una nueva obra de reconstrucción o con la correspondiente indemnización.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el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si la ejecución del fallo causa al solicitante de amparo un perjuicio irreparable, debiendo entenderse por tal aquel que provoque que el restablecimiento del recurrente en los derechos fundamentales cuya vulneración denuncia sea tardío e impida definitivamente que la restauración sea efectiva (por todos, recientemente, ATC 90/2014, de 27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(por ejemplo,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viene de recordar en el fundamento jurídico anterior, criterio decisivo para la estimación de la suspensión instada en un recurso de amparo es la irreparabilidad del perjuicio ocasionado por la ejecución del fallo. En el presente supuesto, el recurrente solicita la suspensión de la ejecución de una sentencia que condena a quien nos formula la queja a derruir la construcción que realizó, consistente en la comunicación a través de una pasarela de un local comercial y un almacén ubicado en la planta sótano, restituyendo el edificio a su estado primitivo.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expuesto, es evidente que la ejecución no afecta a la residencia del demandante, circunstancia ésta que, cuando acontece, aporta un dato de especial valoración en el test de irreparabilidad del perjuicio (ATC 165/2012, de 17 de septiembre, FJ 3). En el caso a examen, se trata de la unión de dos locales y, aunque la ejecución de la Sentencia causaría evidentes perturbaciones y molestias, los perjuicios no resultarían irreparables pues, en la hipótesis de que se estimase el presente recurso de amparo, con revocación de la Sentencia del Juzgado de Primera Instancia núm. 24 de Sevilla, los mismos podrían ser remediados por diferentes vías. Y entre ellas, no cabe descartar la de la indemnización económica correspondiente a satisfacer por la parte actora del proceso civil si ésta, pendiente aún de resolver este recurso, instase la ejecución de la resolución judicial cuya suspensión se pide en esta sede constitucional (ATC 144/1994, de 25 de abril,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