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235</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octubre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1345-2012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1345-2012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 lugar a la aclaración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STC 155/2014, de 25 de septiembre, el Pleno este Tribunal desestimó el recurso de inconstitucionalidad núm. 1345-2012, promovido por el Presidente del Gobierno, contra el artículo 1 de la Ley 9/2011, de 5 de diciembre, de modificación de la Ley 1/1986, de 2 de enero, electoral de Andalucía, la Ley 2/2005, de 8 de abril, por la que se regula el estatuto de los expresidentes de la Junta de Andalucía, y la Ley 3/2005, de 8 de abril, de incompatibilidades de altos cargos de la Administración de la Junta de Andalucía y de declaración de actividades, bienes e intereses de altos cargos y otros cargos públicos, en cuanto da nueva redacción al artículo 6.2, letra c) de la Ley electoral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este Tribunal el 26 de septiembre de 2014, el Abogado del Estado, en la representación que legalmente ostenta, solicitó aclaración de la citada STC 155/2014, de 25 de septiembre, por considerar que existe una “omisión de la sentencia sobre sus efectos respecto de las personas incursas en la incompatibilidad que la Ley 9/2011 establece”. Para el Abogado del Estado el Tribunal debería realizar un pronunciamiento expreso que limitase la eficacia de la Sentencia a la próxima convocatoria electoral.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93.1 de la Ley Orgánica del Tribunal Constitucional establece que en el plazo de dos días, a contar desde la notificación, las partes podrán solicitar la aclaración de la Sentencia. La solicitud de aclaración ha sido presentada en el plazo legalmente establecido y por una de las partes procesales. Ahora bien, como hemos expresado en reiteradas ocasiones, la solicitud de aclaración no constituye un medio de impugnación encaminado a la sustitución o revisión de la decisión adoptada, pues contra las Sentencias del Tribunal Constitucional no cabe recurso alguno. Su objeto ha de limitarse, en consecuencia, a la corrección de errores materiales manifiestos o errores aritméticos, a la aclaración de algún concepto oscuro, a suplir cualquier omisión o a la rectificación de alguna contradicción manifiesta que se evidencie del propio texto de la Sentencia, sin necesidad de nuevas deducciones o interpretaciones (Por todos, ATC 108/2012, de 22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aclaración solicitada excede claramente del objeto de este trámite procesal. En efecto, la STC 155/2014 ha desestimado el recurso de inconstitucionalidad en su día interpuesto. La publicación de la Sentencia en el “BOE” implica el automático levantamiento de la suspensión en su día acordada por lo que no se produce omisión alguna en cuanto a la determinación de los efectos de la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 lugar a la aclaración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octubre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