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2771-2014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negativo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Tribunal Constitucional el 5 de mayo de 2014, el Abogado del Estado, actuando en representación del Gobierno, formalizó demanda de conflicto negativo de competencias frente a la Generalitat de Catalunya, en relación con determinadas actuaciones vinculadas a la gestión del Fondo estatal para el empleo y sostenibilidad local, con el fin de que se llevasen a cabo las actuaciones de ejecución que resultaren precisas, conforme al Real Decreto-ley 13/2009, de 26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fundamenta la solicitud de planteamiento del conflicto negativo de competencia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150/2012, de 5 de julio, recaída en el recurso de inconstitucionalidad núm. 5985-2013, interpuesto por la Generalitat de Catalunya contra el Real Decreto-ley 13/2009, de 26 de octubre, que crea el fondo estatal para el empleo y sostenibilidad local, declaró inconstitucionales, en los términos establecidos en el fundamento jurídico 16 y con los efectos que se indican en el fundamento jurídico 17 de dicha Sentencia, determinados preceptos e incisos de preceptos del citado Real Decreto-ley. El fundamento jurídico 17 de la STC 150/2012 establece el alcance del fallo en los términos siguientes: “Por último, es imprescindible, antes de pronunciar el fallo, precisar el alcance concreto que debe atribuirse a la declaración de inconstitucionalidad del Real Decreto-ley 13/2009 contenida en el fundamento jurídico anterior. Su anulación podría suponer graves perjuicios y perturbaciones, también en Cataluña, a los intereses generales, afectando a situaciones jurídicas consolidadas, y particularmente a la política económica y financiera de los ayuntamientos. Por otra parte, las subvenciones se refieren a un ejercicio económico ya cerrado y han agotado sus efectos. En consecuencia, nuestro pronunciamiento, que debe incluir la estimación parcial del recurso de inconstitucionalidad, ha de realizarse con respeto, en todo caso, de las ayudas que ya hayan sido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requerimiento de la Dirección General de Coordinación de Competencias con las Comunidades Autónomas y las entidades locales, la Abogacía del Estado de la Secretaría de Estado de Administraciones públicas emitió un informe de 5 de octubre de 2013, en el que entendió que no cabía admitir una extensión de competencias de la Administración del Estado a actuaciones posteriores a la publicación de la Sentencia con el argumento de que la subvención se había otorgado por la Administración del Estado, pues ello contravendría expresamente la declaración de inconstitucionalidad. Concluye, por ello, que las actuaciones que no sean firmes y las que se produzcan con posterioridad a la fecha de publicación de la Sentencia corresponden a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un posterior informe emitido a petición de la Intervención General del Estado, de 20 de diciembre de 2012, la Abogacía del Estado reitera estas conclusiones indicando la conveniencia de trasladar a la intervención general de cada Comunidad Autónoma las denuncias presentadas ante la Intervención General del Estado, la inadmisión de las peticiones en materia de control de ayudas y la imposibilidad de dirigir instrucciones a aquellas. Añade que no se produjo la territorialización de fondos porque cuando se otorgaron las ayudas se aplicaban aún los artículos del Real Decreto-ley que atribuían la competencia al Estado para la gestión centralizada, por lo que, en caso de eventual reintegro, y en cuanto a la actividad de ejecución, habrá de tramitarse por la Comunidad Autónoma, si bien, al no haber sido territorializados los fondos desde un principio, éstas habrán de transferir después las cantidades resultantes al tesoro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8 de enero de 2013, la Dirección General de Coordinación de Competencias con las Comunidades Autónomas y las entidades locales dirigió una carta a las Comunidades Autónomas indicando el procedimiento a seguir para dar cumplimiento a la STC 150/2012. Se identifican los expedientes pendientes de tramitación en su ámbito territorial respectivo, la cantidad a transferir para hacer frente a sus obligaciones económicas, y se solicitan los datos de cuenta corriente para hacer la transferencia. Posteriormente, el 31 de enero de 2013, se les facilitó el acceso a la aplicación “ARCADIA”, empleada para la gestión de proyectos por las entidades locales y la documentación aportada por los ayuntamientos.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Las Comunidades Autónomas de Andalucía y Extremadura formularon objeciones a hacerse cargo de la gestión de las subvenciones establecidas en relación con el Fondo estatal para el empleo y sostenibilidad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13 de julio de 2013 se transfirieron a todas las Comunidades Autónomas, salvo a las dos antes citadas, los importes necesarios para hacer frente a las obligaciones económicas, y el 25 de julio de 2013 los expedientes de reintegro iniciados y pendientes aún de algún trámite en vía administrativa. La Comunidad Autónoma de Extremadura mantuvo el criterio de suscribir un convenio entre administraciones, al que finalmente se llegó el 18 de febrero de 2014. En cuanto a la Junta de Andalucía se le remitió un correo electrónico el 12 de septiembre de 2013 con la relación de expedientes y estado de tramitación. Por otra parte, la Intervención General de la Administración del Estado informó a las Comunidades Autónomas sobre las denuncias recibidas respecto a proyectos ejecutados con las ayudas. La Abogacía del Estado emitió nuevo informe jurídico de 14 de febrero de 2014 en el que se indicaba la posibilidad de plantear conflicto negativo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Gobierno acordó el 28 de febrero de 2014 formular el requerimiento previo a la Comunidad de Cataluña por estimar que no había ejercido las atribuciones propias de la competencia que a la Comunidad Autónoma confieren los arts. 114 y 152.4 del Estatuto de Autonomía de Cataluña, con el fin de que se realizasen las actuaciones precisas en aplicación de la STC 150/2012. Tal requerimiento fue notificado el 4 de marzo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2 de abril de 2014 fue notificado el acuerdo del Consejo de Gobierno de Cataluña, de ese mismo día, rechazando el requerimiento formulado por el Gobierno del Estado, por entender que se está ante una discrepancia en la interpretación del fallo de la Sentencia del Tribunal Constitucional en orden a su ejecución en lo que se refiere a la realización de unos actos materiales que son consecuencia de una competencia que, aunque constitucionalmente no le corresponde, pues así lo declaró la citada Sentencia, fue ejercida por el Estado y no invalidada por el Tribunal. En concreto, argumenta la mencionada resolución que el contenido del fundamento jurídico 17 de la STC 150/2012, no hace sino plasmar el mismo criterio adoptado en las SSTC 36/2012, 73/2012, 77/2012 y 243/2012, que no es otro que el carácter meramente declarativo de la inconstitucionalidad para las ayudas otorgadas y la limitación de la nulidad a aquellas ayudas que no han sido aún otorgadas siendo, por tanto, posible su territorialización. De hecho, el Estado ha utilizado este criterio para terminar la tramitación de los expedientes que no han sido remitidos a la Comunidad Autónoma por estar íntegramente finalizados. Por ello, continúa, para resolver la situación en la que se encuentran los expedientes cuya continuación corresponde, según el Estado, a la Comunidad Autónoma —de los 4.020 proyectos que se aprobaron en Cataluña, sólo se remiten 55 expedientes no finalizados— resulta necesario señalar que en todos los expedientes remitidos se había otorgado la ayuda en 2010, de manera que afecta a ayudas concedidas, debiendo continuar el Estado con la gestión.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Consejo de Ministros acordó, el 30 de abril de 2014, plantear el conflicto negativo de competencia del que trae causa el presente recurso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fundamenta su demanda en las alegaciones que se resumen a continuación. Argumenta, en primer lugar, que aunque el requerimiento invoca la STC 150/2012, no basa en ella su posición, pues el título que fundamenta la competencia cuyo ejercicio se discute, no es otro que la atribución de competencias que realizan los arts. 114.3 y 152.4 c) y concordantes de la Ley Orgánica 6/2006, de 19 de julio, y que fueron invocados de manera explícita por el acuerdo del Consejo de Ministros que tomó la decisión de formular el requerimiento previo. Lo que hizo la Sentencia del Tribunal Constitucional es interpretar los preceptos que las partes invocaban en defensa de su competencia, considerando finalmente que la Comunidad Autónoma recurrente era la competente para aprobar y conceder las ayudas de que se trataba. La Sentencia no crea derecho aplicable ni atribuye competencias, sino que es el título declarativo que reconoce la competencia atribuida por el ordenamiento. Como ha señalado el Consejo de Estado en su dictamen, la discusión jurídica versa sobre la determinación de la administración competente para la gestión y ejecución de los expedientes de otorgamiento de subvenciones en curso en el momento de publicarse la STC 150/2012, y sobre a quién corresponde realizar las labores de control y fiscalización de las subvenciones ya otorgadas con anterioridad al fallo constitucional. A continuación reitera la interpretación sostenida en los anteriores conflictos negativos de competencia, en el sentido de que habiendo sido declarada la inconstitucionalidad de los preceptos que atribuyen al Estado la gestión de estas ayudas y, habiéndose limitado la nulidad a las decisiones en cuya virtud se dictaron las ayudas, los actos de ejecución que llevara a cabo el Estado a partir de la publicación de la STC 150/2012, serían nulos de pleno derecho.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este Tribunal ha afirmado en el ATC 207/2014, de 22 de julio, FJ 1, los conflictos de competencia tienen en común una controversia competencial, pero no cualquier desacuerdo entre el Estado y las Comunidades Autónomas, sino sólo las que versan sobre la interpretación que debe darse a las normas constitucionales, estatutarias, o delimitadoras de competencias entre el Estado y las Comunidades Autónomas, pues sólo en este caso tienen trascendencia constitucional. Por ello, no tienen cabida en este tipo de conflictos las controversias atinentes a cuestiones materiales o incluso jurídicas, en alguna medida vinculadas con el sistema de distribución de competencias, cuya solución no requiere de una interpretación de las reglas competenciales del bloque de la constitucionalidad (STC 37/1992, de 23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fijado el objeto del conflicto negativo de competencia, procede ya analizar si estamos o no, en este concreto conflicto, ante una controversia sobre las normas del bloque de la constitucionalidad atributivas de competencias. A diferencia del supuesto resuelto en el ATC 207/2014, en que la Comunidad Autónoma no rechazaba su competencia para la tramitación de las ayudas otorgadas al amparo de la norma legal que posteriormente fue declarada inconstitucional en muchos de sus preceptos, y ni siquiera discutió la interpretación que debía darse a la STC 150/2012, de 5 de julio, la Generalitat de Catalunya objeta, sin embargo, que no puede ejercer las funciones para las que ha sido requerida por el Gobierno del Estado porque en el caso concreto la competencia ya ha sido, aunque indebidamente, ejercida por el Estado, sin que la Sentencia haya declarado su nulidad por estar todas las ayudas ya otorgadas cuando esta se dictó.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discrepancia no versa, en consecuencia, sobre la interpretación de las normas del bloque de la constitucionalidad atributivas de competencias. Sobre ello ya se pronunció, a instancias de la propia Generalitat de Catalunya, la STC 150/2012, que estimó parcialmente el recurso de inconstitucionalidad interpuesto contra el Real Decreto-ley 13/2009, de 26 de octubre, por vulneración de las competencias de la Comunidad Autónoma recurrente. La controversia atañe, exclusivamente, a los expedientes administrativos que deben ser transferidos a la Comunidad Autónoma una vez declarada la inconstitucionalidad, lo que depende de la interpretación que se realice del contenido del fallo de la Sentencia, que declara la inconstitucionalidad de varios de los preceptos del Real Decreto-ley impugnado pero no su nulidad, y se remite, en cuanto a sus efectos, a lo establecido en el fundamento jurídico 17, que explica la razón de que no se declare la nulidad de los preceptos declarados inconstitucionales y se mantengan los actos dictados en ejecución de estos: “podría suponer graves perjuicios y perturbaciones, también en Cataluña a los intereses generales, afectando a situaciones jurídicas consolidadas, y particularmente a la política económica y financiera de los Ayuntamientos”, teniendo en cuenta que las subvenciones “se refieren a un ejercicio económico cerrado y han agotado sus efectos” (STC 150/2012,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el conflicto negativo de competencias no tiene por objeto interpretar el alcance de las Sentencias de este Tribunal sino la distribución competencial entre el Estado y las Comunidades Autónomas a partir de las normas del bloque de constitucionalidad, el presente conflicto debe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negativo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