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5280-2012, promovido por la entidad “ARIGO 98, S.L.”, representada por el Procurador de los Tribunales don Jorge Laguna Alonso y defendida por el Letrado don José María Fernández-Arámburu Hepburn, contra el Auto de la Sección Primera de la Sala de lo Contencioso-Administrativo del Tribunal Supremo, de 22 de diciembre de 2011, por el que se inadmite el recurso de casación núm. 4352/2010, deducido contra la sentencia de la Sala de lo Contencioso-Administrativo de la Audiencia Nacional de 27 de mayo de 2010, así como contra el Auto de la misma Sala y Sección, de 7 de junio de 2012, por el que se desestima el incidente de nulidad promovido contra aquel Auto. Ha intervenido el Abogado del Estado, así como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septiembre de 2012, el Procurador de los Tribunales don Jorge Laguna Alonso, en nombre y representación de la entidad Arigo 98, S.L., formuló demanda de amparo contra las resoluciones judiciales reseñadas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Contencioso-Administrativo de la Audiencia Nacional, dictó Sentencia de 27 de mayo de 2010 en el procedimiento ordinario núm. 100-2007, por la que estimó parcialmente el recurso deducido por la demandante de amparo contra la resolución del Tribunal Económico-Administrativo Central de 21 de diciembre de 2006, en relación con acuerdos de liquidación y sanción dictados respecto del impuesto de sociedades, ejercicios 1998, 1999 y 2000. En dicha Sentencia se declaró la anulación de la sanción impuesta y se confirmó la resolución recurrida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anterior Sentencia prepararon recurso de casación tanto el Abogado del Estado como la entidad demandante de amparo, que lo hizo mediante escrito registrado en la Audiencia Nacional el 15 de junio de 2010. En él, la ahora demandante puso de manifiesto la intención de interponer recurso de casación, la legitimación de la parte recurrente, el carácter recurrible de la resolución impugnada y el cumplimiento del plazo para la presentación del escrito; a ello añadió la precisión de que el recurso iba a fundarse en el motivo previsto en el art. 88.1 d) de la Ley reguladora de la jurisdicción contencioso-administrativa (LJCA). El recurso fue tenido por preparado por diligencia de ordenación de la Sala de lo Contencioso-Administrativo de la Audiencia Nacional de 21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en el Registro General del Tribunal Supremo el día 2 de septiembre de 2010, la demandante de amparo se personó y formalizó el escrito de interposición del recurso de casación. Por su parte, mediante escrito registrado el 16 de noviembre de 2010, el Abogado del Estado manifestó no sostener el recurso de casación preparado por la representación del Estado. Tras cumplirse por la entidad Arigo 98, S.L., el requerimiento de presentar la liquidación de la tasa por el ejercicio de la potestad jurisdiccional, mediante Decreto de 19 de noviembre de 2010 se declaró desierto el recurso de casación preparado por el Abogado del Estado, continuándose el procedimiento respecto del recurso de casación interpuesto por la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la Sala Tercera del Tribunal Supremo de 25 de enero de 2011 se acordó poner de manifiesto para alegaciones la posible causa de inadmisión del recurso motivada por razón de su cuantía. Dando cumplimiento a este trámite, tanto el Abogado del Estado como la entidad Arigo 98, S.L., presentaron su respectivo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nueva providencia de 5 de abril de 2011, el órgano judicial señaló que, sin perjuicio de lo indicado en la anterior providencia de 25 de enero de 2011, acordaba poner de manifiesto a las partes, para alegaciones por plazo común de diez días, la posible causa de inadmisión del recurso consistente en “no haber citado en el escrito de preparación del recurso de casación las infracciones normativas o jurisprudenciales que la recurrente desarrollará en el escrito de interposición [arts. 88.1, 89.1 y 93.2 a) LRJCA]”. Por parte de la entidad Arigo 98, S.L., se cumplió el trámite conferido, interesando la admisión del recurso de casación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Seguidamente, el Tribunal Supremo dictó el Auto de 22 de diciembre de 2011 frente al que se demanda amparo, por el que inadmitió el recurso de casación deducido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reitera la doctrina recogida en resoluciones de la Sala (Autos de 14 de octubre de 2010, de 18 y 25 de noviembre de 2010, y de 2 de diciembre de 2010), transcribiendo varios de sus fundamentos. Asimismo, y entre otras consideraciones, añade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artículo 89.1 LJCA establece que el escrito de preparación debe contener una sucinta exposición de los requisitos de forma exigidos, se está refiriendo a los requisitos expresados en los artículos anteriores, y entre ellos figura de forma primordial la tajante regla procesal del artículo 88.1, que exige que el recurso se funde, exclusivamente, en alguno o algunos de los cuatro motivos que ahí se perfilan; de manera que es carga del recurrente en casación indicar ya en la fase de preparación el concreto o concretos motivos en que se fundará el recurso y no en cualesquiera otras razones no contempladas en la Ley Jurisdiccional, con indicación de los concretos preceptos o jurisprudencia que se reputan infringidos o del contenido de las infracciones normativas o jurisprudenciales que se pretendan denunciar y desarrollar en el escrito de interposición del recurso de casación, aunque fuere de forma sucinta. Si así no se exigiera, es decir, si se estimara innecesario anticipar el motivo o motivos al que se acogerá el escrito de interposición en los términos expresados, el trámite de preparación quedaría privado de su sentido y finalidad característicos, desde el momento que el Tribunal a quo quedaría desprovisto de elementos de juicio para verificar que el recurso de casación cumple el más primario requisito de procedibilidad, cual es que se funda formalmente en uno de esos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artículo 88.1 que se utilice.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el escrito de preparación no especifica en modo alguno los motivos a los que se acogerá la interposición con las exigencias expresadas, el recurso será inadmisible por aplicación del artículo 93.2 a) en relación con los artículos 88.1 y 89.1, todos ellos de la Ley Jurisdiccional, por haber sido defectuosamente preparado.”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y tras indicar que la entidad recurrente se había limitado a anunciar en el escrito de preparación del recurso de casación que éste se ampararía en el motivo del art. 88.1 d) LJCA, sin hacer mención alguna a las concretas infracciones normativas o jurisprudenciales que se pretendían denunciar y desarrollar en el escrito de interposición, el Auto concluye que procedía la inadmisión del citado recurso de casación, lo que hacía innecesario analizar la causa de inadmisión por razón de la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registrado el 22 de febrero de 2012, la demandante de amparo dedujo incidente de nulidad de actuaciones, en el que argumentó que la inadmisión del recurso de casación provocaba la vulneración de 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alegó la lesión del derecho a la igualdad (art. 14 CE). En tal sentido señaló que el Auto de inadmisión había aplicado un nuevo criterio respecto a los requisitos formales del escrito de preparación del recurso de casación que traía origen del Auto de 14 octubre de 2010, de modo que, en el caso, el escrito de preparación se había presentado varios meses antes de ese cambio de criterio. En concreto, puso de manifiesto que, en un supuesto análogo en que también el escrito de preparación se había presentado antes del cambio de criterio con la sola invocación del motivo del art. 88.1 d) LJCA, pero siendo entonces recurrente la Administración general del Estado, la Sentencia de la Sección Segunda del Tribunal Supremo de 23 de enero de 2012 (recurso de casación núm. 6381-2008) había desestimado que dicho escrito de preparación hubiera sido indebidamente formulado por no contener indicación de las normas y la jurisprudencia que se consideraban infringidas. En consecuencia, tras señalar que no es posible la aplicación de un parámetro diferente cuando el escrito de preparación se formula por la Administración y cuando se presenta por el resto de recurrentes, concluyó que, en el caso, se produce una quiebra del principio de igualdad, debiendo entenderse que el nuevo criterio tampoco es de aplicación por razones temporales.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adujo la vulneración del derecho a la tutela judicial efectiva (art. 24.1 CE), en su vertiente de acceso a los recursos legalmente establecidos. A tal efecto, respecto al declarado defecto formal por no hacer constar en el escrito de preparación las normas o jurisprudencia que se consideran infringidas, puso de relieve que los requisitos de ese escrito a que alude el art. 89.1 LJCA no están explícitamente consignados en el precepto, por lo que se trata de una exigencia que carece de suficiente cobertura legal, incurriéndose en un exceso interpretativo innecesariamente formalista que conculca el principio de proporcionalidad y resulta lesivo del derecho de acceso al recurso, causando una manifiesta indefensión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7 de junio de 2012, frente al que también se demanda amparo, se acordó desestimar el incidente de nulidad promovido por la demandante. Entre otras consideraciones, el Auto fundamentó su respuesta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ahora insistir que la doctrina relativa a las exigencias predicables del escrito de preparación del recurso de casación, en lo que atañe a la cita de las infracciones normativas o jurisprudenciales que se pretendan denunciar y desarrollar en el escrito de interposición, aunque fuere de forma sucinta, se sustenta en una concepción que enfatiza la relevancia de la fase de preparación como un trámite con sustantividad propia que no constituye un mero formalismo carente de trascendencia y persigue garantizar que la parte recurrida cuente con la información necesaria desde aquella fase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reiterada por esta Sala desde el Auto de 10 de febrero de 2011 (recurso 2927-2010) incorpora nuevas exigencias al escrito de preparación del recurso de casación, respecto de las comprendidas en los criterios expuestos sistemáticamente en precedentes de la Sala, tal y como se ha declarado en los razonamientos del Auto cuya nulidad se insta, culminando así la evolución jurisprudencial que ya apuntaba el Auto de esta Sala de 14 de octubre de 2010 —recurso núm. 951-2010—. A este respecto, ha de ponerse de manifiesto que es reiterada la doctrina constitucional que admite sin reservas el cambio de criterio jurisprudencial, siempre que éste no sea arbitrario y esté motivado, sin que quepa pretender de la jurisprudencia un carácter monolítico y estático, puesto que su valor reside precisamente en su dinámica adaptativa y motivada a las nuevas realidades en que se desenvuelven las relaciones jurídicas, teniendo en cuenta la libertad de apreciación de todo órgano jurisdiccional en el ejercicio de su función juzgadora (de conformidad con el artículo 117.3 de la Constitución Española ) y la consecuencia de una diferente concepción jurídica igualmente razonable y fundada en Derecho de los supuestos sometidos 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viene entendiendo (entre otras, STC 76/2005, de 4 de abril, recurso de amparo número 2182-2002) que los cambios jurisprudenciales han de ser conscientes y justificados, con vocación de generalidad suficiente como para impedir su calificación como irreflexivo, arbitrario, ocasional e inesperado, de modo que, cumpliéndose esos requisitos, no podría estimarse vulnerado el principio de igualdad en su vertiente de aplicación judicial de la Ley. Efectivamente, el Alto Tribunal considera que los cambios de criterio jurisprudenciales son legítimos cuando son razonados y razonables (STC 29/2005, de 14 de febrero, recurso de amparo número 6002-2002). En definitiva,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(por todas, STC 176/2000, de 26 de junio, recurso de amparo número 6604-1997). De este modo, los cambios de criterio jurisprudenciales no erosionan los principios constitucionales de igualdad ni de seguridad jurídica. En los mismos términos se ha pronunciado esta Sala Tercera del Tribunal Supremo en numerosas sentencias, por todas ellas, STS de 5 de julio de 2002, recurso de casación número 5552-1997 y STS de 22 de diciembre de 2003, recurso de casación número 5455-1998.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Sala habrá de aplicar el nuevo criterio jurisprudencial a todo supuesto o situación jurídica que tenga ante sí para resolver, con independencia del momento temporal en que se interpuso el recurso. Es lo que el Tribunal Constitucional ha entendido como el ‘mínimo efecto retroactivo’. En caso contrario, quedaría petrificada la nueva interpretación jurisprudencial a aquellos escritos de interposición de recursos que fueran presentados debidamente ante los Tribunales de Justicia a partir del momento del ‘anuncio’ del cambio de criterio, ‘anuncio’ a que no están obligados los órganos jurisdiccionales, tal y como tiene asentada la doctrina constitucional referida. Asimismo, hay que tener en cuenta que una resolución judicial que incorpora un cambio de criterio jurisprudencial y cuya eficacia fuese meramente prospectiva sería un mero obiter dictum, amén de que se frustraría la finalidad del proceso porque la resolución no afectaría a las partes. El único límite temporal a que se limitan los cambios de criterio jurisprudenciales, de conformidad con la doctrina del Tribunal Constitucional, es a las situaciones jurídicas que gozan de la protección de la cosa juzgada, como no podía ser menos como garantía de salvaguardia de la tutela judicial efectiva proclamada en el artículo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doctrina expuesta no es contraria a los principios constitucionales que deben regir el proceso y, en concreto, con el artículo 24.1 CE , pues conviene recordar que, según el Tribunal Constitucional, el derecho a la tutela judicial efectiva es ‘un derecho prestacional de configuración legal’ cuyo ejercicio y prestación ‘están supeditados a la concurrencia de los presupuestos y requisitos que en cada caso, haya establecido el legislador’, de tal modo que ese derecho ‘también se satisface con la obtención de una resolución de inadmisión, que impide entrar en el fondo de la cuestión planteada, si esta decisión se funda en la existencia de una causa legal que así lo justifique’ (Sentencia 26/2003, de 10 de febrero , y las que en ella se citan), siendo esto último lo que aquí ocurre, debiendo tenerse presente, además, que resulta doctrina reiterada de esta Sala la de que no se quebranta dicho derecho porque un proceso contencioso-administrativo quede resuelto en única instancia (por todos, AATS de 10 de enero de 2008 —recurso de casación 4884-2006— y de 14 de julio de 2011 —recurso de queja 26-2011—).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alegación relativa a la vulneración del derecho a la igualdad dado que, en el recurso de casación número 6381-2008, la Sección Segunda de esta Sala dictó Sentencia el 23 de enero de 2012 en la que no tuvo acogida la causa de oposición del recurrido consistente en que el recurso había sido indebidamente formalizado por no contener el escrito de preparación indicación alguna de las normas o de la jurisprudencia que se considera infringida, señalar que, como transcribe el propio recurrente en su escrito planteando el incidente de nulidad, la mencionada Sentencia da respuesta a la referida alegación argumentando, al efecto, lo siguiente: ‘Sin embargo, esa misma Sección de admisión estimó suficiente, en la época en la que el presente recurso fue admitido a trámite, la argumentación ofrecida por escritos idénticos al que ahora se cuestiona, presentados también por el abogado del Estado para preparar recursos de casación contra sentencias de la Audiencia Nacional [véanse, por todos, los autos de 28 de mayo de 2009 (casación 906-2009, FJ 2), 18 de junio de 2009 (casación 4389-2009, FJ 3) y 21 de enero de 2010 (casación 2355-2009, FJ 2)]. No puede prosperar, por ello, esta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resolución del presente recurso de amparo ha de tenerse igualmente presente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89.1 LJCA dispone que en el escrito de preparación del recurso de casación deberá manifestarse “la intención de interponer el recurso, con sucinta exposición de la concurrencia de los requisitos de forma exigidos”. El art. 89.2 LJCA dispone que “en el supuesto previsto en el artículo 86.4 [sentencias dictadas por las salas de lo contencioso-administrativo de los Tribunales Superiores de Justicia, contra las que solo cabe recurso si este puede fundarse en infracción de normas de Derecho estatal o comunitario europeo], habrá de justificase que la infracción de una norma estatal o comunitaria europea ha sido relevante y determinante del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Inicialmente el Tribunal Supremo circunscribió los requisitos de forma que deben expresarse en el escrito de preparación a la necesidad de hacer constar el carácter susceptible de recurso de la resolución impugnada, la legitimación de la parte recurrente, el cumplimiento del plazo legalmente fijado para presentar el escrito de preparación, y la intención de interponer el recurso de casación. En el caso de resoluciones procedentes de los Tribunales Superiores de Justicia, por disponerlo así el art. 89.2, en relación con el art. 86.4 LJCA, se entendía exigible también la anticipación o anuncio en el escrito de preparación de los motivos que iban a desarrollarse en la interposición y la expresión de las concretas infracciones denunciadas de la ley y de la jurisprudencia aplicables, con la finalidad de determinar si se trataba de normas estatales o de Derecho europeo relevantes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algunas resoluciones del Tribunal Supremo (AATS de 3 de diciembre de 2009, recurso de casación 577-2009; 4 de marzo de 2010, recurso de casación 4416-2009, y 6 de mayo de 2010, recurso de casación 6228-2009) comenzaron a entender exigible con carácter general en los escritos de preparación del recurso de casación la expresión de los motivos de casación que iban a desarrollarse en el escrito de interposición. Tal exigencia no era general, pues, como declaran los AATS de 14 de octubre de 2010, recursos de casación 951-2010 y 573-2010; 18 de noviembre de 2010, recurso de casación 3461-2010; 25 de noviembre de 2010, recursos de casación 1886-2010 y 2738-2010, y 2 de diciembre de 2010, recursos de casación 3852-2010 y 5030-2010, “debe reconocerse que en ocasiones tal exigencia se ha predicado tan solo respeto de los recursos de casación preparados frente a sentencias de las Salas de lo Contencioso-Administrativo de los Tribunales Superiores de Justicia, excluyéndose expresamente esta exigencia respecto de las Sentencias de lo Contencioso-administrativo de la Audiencia Nacional (en este sentido, Autos de esta Sala y Sección de 23 abril 2009, recurso de casación 3146-2008, 9 julio de 2009, recurso de casación 5647-2008, y 6 abril 2010, recurso de casación 1368-2009,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AATS 951/2010 y 573/2010, de 14 de octubre de 2010, y 3461/2010, de 18 de noviembre de 2010, al objeto de “clarificar” la jurisprudencia, la Sección Primera de la Sala de lo Contencioso-Administrativo del Tribunal Supremo precisó que la exigencia de “anticipar” en el escrito de preparación los motivos de casación era aplicable también a las Sentencias y Autos dictados por la Audiencia Nacional, como extensión de las exigencias de forma impuestas para el escrito de preparación del recurso de casación por el art. 89.1 LJCA. Según estos Autos, en el escrito de preparación “es carga del recurrente en casación indicar ya en la fase de preparación el concreto o los concretos motivos en que se fundará el recurso”, con referencia a los “cuatro motivos que ahí se perfilan [se refiere al art. 88.1 LJCA]” (ATS 3461/2010, de 18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ATS de 10 de febrero de 2011 (recurso de casación 2927-2010), también de la Sección Primera de la Sala de lo Contencioso-Administrativo, a la que corresponde por reparto decidir sobre la admisibilidad de los recursos de casación, dictado asimismo con la finalidad de “clarificar” la doctrina jurisprudencial, especificó que el escrito de preparación, con carácter general, debe contener no solo la invocación de los motivos, sino también la indicación de “los concretos preceptos o jurisprudencia que se reputan infringidos o del contenido de las infracciones normativas o jurisprudenciales que se pretenda denunciar y desarrollar en el escrito de interposición del recurso de casación, aunque fuera de forma sucinta”, añadiendo que tal exigencia “existe tanto cuando la resolución impugnada procede de los Tribunales Superiores de Justicia como de la Audiencia Nacional y cualquiera que sea el motivo del artículo 88.1 que se utilice”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expone las razones por las cuales se introdujo esta especificación. En concreto señala que si así no se exigiera, el trámite de preparación quedaría privado de su sentido y finalidad, dado que “el tribunal a quo quedaría desprovisto de elementos de juicio para verificar que el recurso de casación cumple el más primario requisito de procedibilidad, cuando este se funda formalmente en uno de sus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apoyo en la argumentación que a continuación se expone de manera sintetizada, la recurrente reprocha a los Autos frente a los que se demanda amparo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alega lesión del derecho a la tutela judicial efectiva (art. 24.1 CE), en su vertiente de acceso a los recursos. Al respecto aduce que la interpretación y aplicación de la Ley procesal denunciada consiste en sobredimensionar el requisito procesal relativo a la mención en el escrito de preparación de la normativa o jurisprudencia infringida por la Sentencia, dándole una trascendencia desorbitada y sin referencia a la finalidad que lo inspira, lo que determina que esa interpretación y aplicación de los requisitos de admisibilidad del recurso de casación resulte contraria al principio de proporcionalidad y, por tanto, lesiva del derecho de acceso al recurso, estableciendo un criterio diferente que se aplica retroactivamente —con vulneración del principio de seguridad jurídica— y sin carácter de uniformidad —no se mantiene por el Tribunal Supremo una jurisprudencia homogénea tras el cambio de criterio de admisión operado, conviviendo autos y sentencias coetáneos o posteriores a los recurridos en que, en supuestos procesales idénticos, se alcanza la solución contraria de admitir el recurso—. Señala asimismo que resulta un hecho no controvertido que la Ley jurisdiccional no contiene un precepto que establezca que cuando el recurso se vaya a basar en el motivo previsto en el art. 88.1 d) haya de citarse la normativa o jurisprudencia que se considere infringida, sin que tampoco el art. 89.1 aluda a requisitos de fondo o motivos en que se fundará el recurso. Por ello, considera, la obligación de citar en el escrito de preparación del recurso de casación las concretas infracciones normativas o jurisprudenciales que se reputan infringidas se configura como un nuevo criterio —no exigido por la jurisprudencia previa—, que carece de un claro sustento normativo —sin obedecer a modificación legal alguna— y que supone la aplicación retroactiva de unos requisitos que limitan considerablemente el derecho a la tutela judicial efectiva, lo que causa una evidente indefensión, debiendo además tenerse en cuenta que ese nuevo criterio no se ha dado a conocer suficientemente, puesto que se ha ido perfilando mediante Autos y no Sentencias. Resalta, en tal sentido, que en la fecha en que se dictó la Sentencia de la Audiencia Nacional contra la que se prepara el recurso de casación (27 de mayo de 2010) ni siquiera existía un nuevo criterio jurisprudencial, porque el primer Auto emitido por la Sección Primera con ese nuevo criterio fue de 14 de octubre de 2010, por lo que cuando se presentó el escrito de preparación del recurso resultaba aplicable la jurisprudencia habida con el criterio tradicional. Además añade que, en el caso concreto, la automática y seriada aplicación de la doctrina del Tribunal Supremo, mimetizada con supuestos muy heterogéneos, no ha ponderado esta circunstancia, agravando la lesión padecida.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denuncia recuerda la doctrina constitucional en la que se declara que el principio pro actione implica la interdicción de las decisiones de inadmisión que por su rigorismo, formalismo excesivo o cualquier otra razón revelen una clara desproporción entre los fines que aquellas causas de inadmisión preservan y los intereses que sacrifican (STC 133/2005, FJ 2); asimismo alude a pronunciamientos en que el Tribunal Constitucional ha reiterado que a él le compete revisar en el caso si se ha producido violación del derecho a la tutela judicial efectiva, en su faceta de acceso a la jurisdicción, frente a un acto del poder público, como consecuencia de una interpretación que carezca de base legal, sea irrazonable o resulte manifiestamente desproporcionada con la finalidad para la que se establece (SSTC 76/1996, FJ 4; 152/1996, FJ 2). También hace referencia a algunos pronunciamientos del Tribunal Europeo de Derechos Humanos: así, la STEDH de 30 de julio de 2009 (caso Dattel contra Luxemburgo), en la que se considera violado el art. 6.1 del Convenio a consecuencia de una interpretación rigorista y desproporcionada de la inadmisión de la casación fundada en la falta de precisión en la formulación del motivo de la casación; la STEDH de 19 de diciembre de 1997 (caso Brualla Gómez de la Torre contra España), que declara que los requisitos de acceso al recurso deben responder a una finalidad legítima y proporcionada; o la STEDH de 28 de octubre de 1998 (caso Pérez de Rada Cavanilles contra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aduce vulneración del derecho a la igualdad en la aplicación de la ley (art. 14 CE), en la medida en que, respecto a la exigencia del referido cambio de criterio, no ha existido uniformidad entre las distintas secciones de la Sala Tercera del Tribunal Supremo, puesto que existen secciones que no han opuesto objeción a escritos de preparación que se formularon con los requisitos tradicionalmente aceptados, remarcando así que dicho cambio resulta arbitrario, ocasional e inesperado. Como prueba de esta afirmación hace referencia a la Sentencia de 23 de enero de 2012, dictada por la Sección Segunda del Tribunal Supremo en el recurso de casación núm. 6381-2008, de la que transcribe un extracto de su fundamento de derecho segundo. Respecto a dicha Sentencia subraya que, siendo de fecha posterior al Auto de inadmisión recurrido en este proceso, en ella se rechaza que el nuevo criterio de admisión pueda o deba ser aplicado con carácter retroactivo, declarando su no aplicación a aquellos recursos de casación en los que al tiempo de prepararse el recurso no se hubiera operado el cambio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septiembre de 2013, la Sala Primera del Tribunal Constitucional acordó admitir a trámite la demanda de amparo. Asimismo, en aplicación de lo dispuesto en el artículo 51 de la Ley Orgánica del Tribunal Constitucional (LOTC), acordó dirigir atenta comunicación al Tribunal Supremo y a la Audiencia Nacional a fin de que, en el plazo de diez días, remitieran certificación o fotocopia adverada de las actuaciones correspondientes al recurso de casación número 4352-2010 y al recurso número 100-2007, respectivamente, debiendo previamente emplazarse, para que pudieran comparecer en el recurso de amparo en el término de diez días, a quienes hubieran sido parte en el procedimiento, excepto a la parte recurrente en amparo. Tras ser emplazado para comparecer en este proceso constitucional, el Abogado del Estado, mediante escrito registrado ante este Tribunal el 24 de octubre de 2013, solicitó se le tuviera por personado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28 de octubre de 2013 se tuvieron por recibidos los testimonios de las actuaciones remitidos por el Tribunal Supremo y la Audiencia Nacional, así como el escrito del Abogado del Estado a quien se tuvo por personado y parte en nombre y representación de la Administración. Asimismo, a tenor de lo dispuesto en el art. 52 LOTC, se dio vista de todas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mediante escrito registrado el 26 de noviembre de 2013, en el que solicita que se “dicte sentencia con arreglo a derecho”. Tras recordar la doctrina constitucional sobre la inadmisión del recurso de casación contencioso-administrativo por defectos insubsanables del escrito de preparación, analiza el art. 89.1 LJCA y, en especial, el contenido de la expresión “los requisitos de forma exigidos” y concluye que la aplicación retrospectiva de las nuevas máximas jurisprudenciales contenidas en el ATS de la Sección Primera de la Sala Tercera de 10 de febrero de 2011, inexistentes cuando se presentó el escrito de preparación del recurso de casación y que determinan su inadmisión por no haberse preparado conforme a ellas, supone frustrar sorpresivamente la razonable expectativa o confianza legítima sobre la admisión de un recurso de casación preparado de acuerdo con los requisitos de forma exigidos por la jurisprudencia en el momento de presentar el escrito de preparación, sin dar oportunidad procesal ninguna de ajustar dicho escrito a las nuevas exigencias. Considera por ello que la cuestión radica en la “irrazonabilidad” de exigir, para la realización de un acto procesal agotado, el cumplimiento de unos requisitos de forma que razonablemente no se conocían en el momento en que se efectuó dicho acto procesal, provocando así una violación del derecho de acceso al recurso. En conclusión, interesa que se dicte Sentencia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irrazonablemente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27 de noviembre de 2013, en el que interesa que se desestime por completo el recurso de amparo, en atención a la argumentación que, en síntesis, se expone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el recurso de amparo únicamente denuncia la vulneración del derecho a la tutela judicial efectiva en su modalidad de derecho de acceso al recurso (art. 24.1 CE), el Fiscal realiza un repaso de la evolución de la doctrina del Tribunal Supremo en relación con los requisitos que debe reunir el escrito de preparación del recurso de casación contencioso-administrativo. Fija como uno de los hitos de esta evolución el ATS 14419/2010, de 14 de octubre, a cuyos requerimientos se ajustó el demandante de amparo al preparar su recurso de casación el 15 de junio de 2010. No obstante, señala, el posterior ATS 2371/2011, de 10 de febrero, añadió la exigencia de que en el escrito de preparación, además de especificar el concreto o concretos motivos en que se fundará el recurso, había de hacerse indicación de los concretos preceptos o jurisprudencia que se reputan infringidos o del contenido de las infracciones normativas o jurisprudenciales que se pretendan denunciar y desarrollar en el escrito de interposición del recurso de casación, aunque sea en forma sucinta, siendo ese nuevo criterio el que fue aplicado en el caso ahora controvertido. Con relación a esta actuación, el Fiscal recoge la doctrina del Tribunal Constitucional sobre el derecho de acceso a los recursos, destacando, entre otros aspectos, que el control constitucional respecto a las resoluciones judiciales dictadas sobre los presupuestos o requisitos de admisión de los recursos debe limitarse a comprobar si tienen motivación, si han incurrido en error material patente, en arbitrariedad o en manifiesta irrazonabilidad, únicas circunstancias que pueden determinar la lesión del derecho a la tutela judicial efectiva. Pues bien, en el caso enjuiciado considera el Fiscal que el Auto de inadmisión impugnado constituye una resolución que cuenta con la debida motivación, no estando ésta incursa ni en error patente, ni en irrazonabilidad, ni en arbitrariedad. Antes al contrario, entiende que la exigencia de especificar en la fase de preparación del recurso de casación los concretos preceptos o jurisprudencia que se reputan infringidos o el contenido de las infracciones normativas o jurisprudenciales que se pretenden desarrollar en el escrito de interposición del recurso fluye del propio tenor de los apartados c) y d) del art. 88.1 LJCA, de ahí que, tras aludir al contenido de los dos motivos de casación incluidos en estas previsiones, señala que de ninguna manera puede afirmarse que la indicada exigencia constituye un requisito no establecido por la ley. Tales razonamientos son, en definitiva, los que conducen al Fiscal a declarar la inexistencia de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mediante escrito registrado el 27 de noviembre de 2013, la representación procesal de la demandante se ratificó íntegramente en los hechos, fundamentos jurídicos y suplico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febrero de 2015 se señaló para deliberación y votación de la presente Sentencia el día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22 de diciembre de 2011, que acordó no admitir a trámite el recurso de casación interpuesto contra la Sentencia de la Sala de lo Contencioso-Administrativo de la Audiencia Nacional de 27 de mayo de 2010, recaída en el procedimiento ordinario núm. 100-2007. También impugna el Auto de la misma Sala y Sección, de 7 de junio de 2012, por el que se desestima el incidente de nulidad promovido contra el Auto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Sentencia, imputa a las resoluciones recurridas la lesión de dos derechos fundamentales. De un lado, aduce la vulneración de su derecho a la tutela judicial efectiva (art. 24.1 CE), en su vertiente de acceso a los recursos, con apoyo en distintas consideraciones que pueden reconducirse y sistematizarse en los siguientes reproches: i) porque los Autos impugnados se fundan en un requisito de admisibilidad que carece de un claro sustento normativo, resultando desproporcionada su aplicación y la interpretación realizada; (ii) porque la exigencia de anticipar en el escrito de preparación del recurso de casación los concretos preceptos o la jurisprudencia que se reputan infringidos se ha aplicado con carácter retroactivo, en un momento en que aquella exigencia no era conocida ni requerida en la jurisprudencia precedente, con vulneración del principio de seguridad jurídica. De otro lado, la demandante alega la vulneración de su derecho a la igualdad en la aplicación de la ley (art. 14 CE), pues entiende que no ha existido uniformidad entre las distintas secciones de la Sala Tercera del Tribunal Supremo respecto a la exigencia del cambio interpretativo.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a la vista de las alegaciones de la recurrente, hemos de señalar que, como ya se dijera en la citada STC 7/2015, FJ 3, “el enjuiciamiento versa sobre un supuesto de acceso al recurso y no de acceso a la jurisdicción, distinción que resulta relevante en el plano de la jurisprudencia constitucional a los efectos de la no aplicación del canon de proporcionalidad en la exigencia de los requisitos legales para el derecho al recurso”, pues, en efecto, conforme este Tribunal ha reiterado, la interpretación y la aplicación de las normas procesales que contemplan los requisitos para la admisión de los recursos son materias de legalidad ordinaria, propias de los Tribunales de Justicia (art. 117.3 CE), “sin que el control que nos corresponde realizar … pueda extenderse al juicio de proporcionalidad inherente al principio pro actione, característico del derecho de acceso a la jurisdicción” (STC 55/2008, de 14 de abril, FJ 2; o SSTC 33/2008, de 25 de febrero, FFJJ 2 y 4, y 132/2011, de 18 de julio, FJ 3). Esto aclarado, 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diciembre 1997, caso Brualla Gómez de la Torre c. España, y de 25 enero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mayo 2000; Llopis Ruiz c. España, de 7 noviembre 2003, e Ipamark c. España, de 17 febrero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los Autos que son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los Autos impugnados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criterio plasmado en los Autos impugnados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su excepcionamiento por disposición legal que establezca el efecto exclusivamente prospectivo de la Sentencia, como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que se refiere al derecho a la igualdad en la aplicación de la ley (art. 14 CE), la demandante alega la falta de uniformidad habida entre las distintas secciones de la Sala Tercera del Tribunal Supremo respecto al cambio de criterio relativo a que el escrito de preparación del recurso de casación contenga la cita, siquiera sucinta, de las normas y jurisprudencia que se estimen infringidas. De manera específica, en favor de su alegación, la recurrente hace referencia a la Sentencia de 23 de enero de 2012, dictada por la Sala Tercera del Tribunal Supremo, en su Sección Segunda, en el recurso de casación núm. 6381-2008, indicando que esta resolución rechaza que el nuevo criterio de admisión se aplique con carácter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queja baste recordar que, conforme a reiterada jurisprudencia constitucional (por todas, STC 205/2013, de 5 de diciembre, FJ 3), para que pueda entenderse conculcado el derecho a la igualdad en la aplicación de la ley es necesaria la aportación de un término de comparación válido que, entre otras exigencias, requiere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(entre otras, STC 164/2005, de 20 de junio, FJ 8; o SSTC 102/2000, de 10 de abril, FJ 2; 64/2010, de 18 de octubre, FJ 2, y 108/2013, de 6 de mayo, FJ 4). En concreto, respecto a las específicas resoluciones comparadas, es obvio que no puede apreciarse tal identidad pues, aun cuando todas ellas tienen origen en la Sala de lo Contencioso-Administrativo del Tribunal Supremo, lo cierto es que el objeto del presente recurso viene referido a Autos de su Sección Primera, y en cambio, la decisión de contraste es una Sentencia de su Sección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aun cuando otro fuera el caso —y al margen de otros requisitos también necesarios para la idoneidad del tertium comparationis aducido—, interesa destacar que, según este Tribunal ha reiterado, está vedado a los órganos judiciales el cambio irreflexivo o arbitrario en la aplicación de una norma, lo cual equivale a mantener que, por el contrario, el cambio resulta legítimo cuando es razonado, razonable y con vocación de futuro, esto es, destinado a ser mantenido con cierta continuidad, con fundamento en razones jurídicas objetivas que excluyan todo significado de resolución ad personam o de ruptura ocasional en una línea que se venga manteniendo con normal uniformidad antes de la decisión divergente o se continúe con posterioridad (por todas, SSTC 105/2009, de 4 de mayo, FJ 4; y 178/2014, de 3 de noviembre, FJ 4). De acuerdo con ello, los Autos del Tribunal Supremo impugnados —lejos de ser una decisión particularizada y adoptada ad hoc por el órgano judicial para resolver ese solo caso o para aplicarlo exclusivamente a la persona del recurrente— constituyen la plasmación de un criterio jurisprudencial previamente adoptado con carácter general y con vocación de permanencia para resolver todos los supuestos de las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entidad Arigo 98,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recurso de amparo núm. 5280-2012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Sala en la que se sustenta la Sentencia, manifestamos nuestra discrepancia con la fundamentación jurídica y el fallo de esta. Consideramos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