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18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5937-2011 interpuesto por la Generalitat de Catalunya contra los apartados 3 y 5 del art. 4; el apartado 1 del art. 6; el apartado 2 del art. 8 y los anexos III y IV del Real Decreto 804/2011, de 10 de junio, por el que se regula la ordenación zootécnica, sanitaria y de bienestar animal de las explotaciones equinas y se establece el plan sanitario equino. Ha comparecido y formulado alegaciones el Abogado del Estado. Ha sido Ponente la Magistrada Dña.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Tribunal Constitucional el 2 de noviembre de 2011, la Abogada de la Generalitat de Catalunya, en la representación que legalmente ostenta, interpuso conflicto positivo de competencias contra los apartados 3 y 5 del art. 4; el apartado 1 del art. 6; el apartado 2 del art. 8 y los anexos III y IV del Real Decreto 804/2011, de 10 de junio, por el que se regula la ordenación zootécnica, sanitaria y de bienestar animal de las explotaciones equinas y se establece el plan sanitario equino, por considerar que el Estado ha excedido los títulos competenciales que le asisten, vulnerando así las competencias asumidas estatutariamente. Los fundamentos jurídicos en que se sustenta la demanda son los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impugnado pretende establecer unas bases comunes para la definición y ordenación del sector, normas de contenido heterogéneo que regulan aspectos diversos como son los zootécnicos, los higiénicos y los sanitarios y que incluye junto a prescripciones obligatorias normas técnicas de detalle o bien obvias y redundantes, o que adolecen de excesiva prolijidad. El Gobierno de la Generalitat no impugna la totalidad de la disposición, sino aquellos apartados de determinados preceptos en los que se incide de forma más penetrante en las competencias autonómicas que vacía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sector equino ha sufrido una importante evolución en los últimos años. Casi abandonado su uso para transporte y trabajo, las actividades más relevantes son las de ocio y deportivas así como el rendimiento cárnico. Se trata de un sector económico que por sí solo tiene una muy escasa entidad, radicando su importancia en las actividades relacionadas con el ocio, turismo rural y servicios con él relacionadas, siendo apenas relevante la industria cárnica en el ámbito de los mercados alimentarios, en comparación con otras producciones cárnicas, cuyo peso en el conjunto de la ganadería es mayor. Su incidencia en la sanidad es, por tanto, ínfima y difícilmente podrá afectar a la salud humana. Por tanto, una regulación consistente en las condiciones de alojamiento de los caballos o el contenido de los libros de explotación tiene poco que ver con la competencia estatal en materia de sanidad o bases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títulos competenciales que invoca el Real Decreto impugnado en su disposición final segunda son la ordenación general de la economía y las bases y coordinación de la sanidad. De otra parte, los títulos autonómicos de aplicación son: (i) la competencia exclusiva en materia de ganadería [art. 116.1 d) del Estatuto de Autonomía de Cataluña (EAC)] que incluye la sanidad vegetal y animal, cuando no tengan efectos sobre la salud humana y la protección de los animales, en el respeto a lo que establezca el Estado en ejercicio de sus competencias de los apartados 13 y 16 del art. 149.1 CE; (ii) la competencia compartida de ordenación, planificación, la determinación, regulación y ejecución de actuaciones dirigidas a preservar y promover la salud pública que incluye la sanidad animal con efectos sobre la salud humana, la sanidad alimentaria y ambiental y la vigilancia epidemiológica [art. 162.3 b) EAC], y finalmente (iii) la competencia de planificación, ordenación y promoción de la actividad económica (art. 152 EAC). De acuerdo con la doctrina constitucional, el alcance material de cada uno de los títulos estatales concretos debe determinarse sobre la base de su contenido y las finalidades que persigue. El art. 149.1.13 CE habilita al Estado para regular e incluso adoptar las medidas necesarias para integrar la agricultura de la Comunidad Autónoma en la política general (STC 80/1985, de 4 de julio), competencia que comprende la aprobación de las directrices y criterios globales de ordenación de un sector concreto y las medidas singulares que sean necesarias para alcanzar los fines propuestos dentro de la ordenación de cada sector. Se trata, por tanto, de una materia de competencia compartida, debiendo primar la competencia autonómica, cuando no se advierta una directa y significativa incidencia sobre la actividad económica general (STC 112/1995, de 6 de julio y 128/1999, de 1 de julio). 	De otro lado, la conexión entre sanidad y sanidad animal ha sido establecida por la doctrina constitucional en la STC 192/1990, de 29 de noviembre FJ 2, sin perjuicio de lo cual debe tenerse en cuenta que el alcance de esta competencia básica no puede desplazar las competencias autonómicas de desarrollo normativo y ejecución de los controles.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expuesto, la demanda analiza de forma pormenorizada cada uno de los preceptos impugnados. El apartado 3 del art. 4 establece las condiciones generales de las construcciones e instalaciones. En algunos casos se trata de especificaciones innecesarias por obvias, en otros casos disposiciones de buenas prácticas en el ejercicio de la actividad que no tienen conexión alguna ni con la economía ni con la sanidad, correspondiendo de lleno a la materia ganadería. La extralimitación se puede deducir si se compara con el contenido de la Ley 8/2003, de 24 de abril, de sanidad animal, cuando regula las condiciones sanitarias básicas que deben cumplirse en las explotaciones animales (arts. 36.2 y 37), remitiéndose a la normativa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4.5 se refiere a las condiciones para garantizar el bienestar animal que se introduce con la salvaguarda de la Ley 32/2007, de 7 de noviembre, para el cuidado de los animales en su explotación, transporte y sacrificio. Las condiciones que se establecen adolecen de ser obviedades o redundancias y no tienen cabida en los títulos genéricos del art. 149.1.13 y 16 CE, contrastando con la regulación establecida en otro apartado del mismo precepto, que no se discute, relativo a las condiciones higiénico-sanitarias. El bienestar animal, que tiene por finalidad ahorrar dolor y sufrimiento en la explotación del ganado, tiene su regulación básica en otra ley distinta la cual al referirse a las explotaciones de animales encomienda a las Administraciones públicas que adopten las medidas necesarias para asegurar el bienestar.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6.1 regula el libro de explotación, que tendrá el formato que se apruebe por la autoridad competente y los datos mínimos que se indican en el anexo IV, mientas que la Ley 8/2003 se limita a exigir un libro de explotación, que contenga los datos exigidos por la normativa aplicable debiéndose mantener actualizado. Esta referencia de la Ley 8/2003 lo es a la normativa sectorial que corresponde a la Comunidad Autónoma en materia de sanidad animal [art. 116.1 d) EAC], teniendo en cuenta, además, que el empleo de este documento para el control informativo de determinados aspectos de la explotación ganadera es instrumental para el ejercicio de las competencias que corresponde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8.2 regula el programa de control, estableciendo que se realizará de acuerdo con lo dispuesto en las partes I y II del anexo III. Se trata de actuaciones sobre determinadas enfermedades equinas, concretando periodicidades en los controles, toma de muestras, etc. Son todas ellas operaciones que se enmarcan en las funciones de ejecución que corresponde a la Comunidad Autónoma, siendo así que el precepto impugnado no se limita a establecer reglas generales, sino que regula de forma acabada el modo y manera de realizar los controles, condicionando la competencia ejecutiva de la Comunidad Autónoma. Se trata, por otra parte, de actuaciones que se refieren a enfermedades que no tienen incidencia sobre la salud humana y que no requerirían de una regulación y coordinación de la intensidad de la aquí regulada.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22 de noviembre de 2011, el Pleno del Tribunal Constitucional acordó admitir a trámite el conflicto positivo de competencias; dar traslado de la demanda para personación y alegaciones al Gobierno de la Nación; comunicar la incoación a la Sala de lo Contencioso-Administrativo del Tribunal Supremo, y publicar la incoación en el “Boletín Oficial del Estado” y en el diario oficial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11 de enero de 2012, el Abogado del Estado, actuando en representación del Gobierno del Estado, presentó sus alegaciones en el Tribunal Constitucional. Comienza en la contestación a la demanda recordando que el problema suscitado en este conflicto es, una vez más, la incidencia de las competencias estatales en las asumidas estatutariamente como exclusivas o compartidas, aspecto sobre el que ha fijado doctrina en la STC 31/2010, FFJJ 59, 60 y 64. De esta forma, la asunción por la Comunidad Autónoma de las competencias de los arts. 116.1 d) y b) y 162.3 EAC no pueden limitar las competencias que asisten al Estado, debiendo tenerse en cuenta que las obligaciones internacionales asumidas por el Estado obligan a reforzar la homogeneización de los aspectos técnicos y operativos. Cita la Directiva 98/58 del Consejo, de 20 de julio de 2000, mediante la que se traspuso al Derecho europeo el Convenio europeo de protección de animales en explotaciones ganaderas, el Reglamento (CE) 504/2008, de la Comisión por el que se aplican las Directivas 90/426/CEE y 90/427/CEE sobre identificación de équidos, el reglamento (CE) 1099/2009, del Consejo, sobre protección de los animales en el momento de la matanza y la Directiva 92/102/CEE que dio lugar al Real Decreto 479/2004, de 26 de marzo por el que se establece y regula el registro general de explotaciones ganaderas (REGA).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 unas condiciones mínimas de construcción, ubicación, higiénico sanitarias y de bienestar animal constituye pieza clave de este tipo de explotaciones, presentes en zonas rurales y urbanas, en desarrollo de los arts. 25, 36, 54 y 56 de la Ley 8/2003, de sanidad animal y de los arts. 4 y 6 de la Ley 32/2007, para el cuidado de los animales en su explotación. Se trata de una norma básica de desarrollo de dos leyes, hallándose la concreta habilitación en la disposición adicional quinta de la Ley 8/2003 y en el art. 4 de la Ley 33/2007, y ambas leyes son dictadas en ejercicio de competencias básicas. Frente a lo razonado por la demanda, entiende el Abogado del Estado, que concurren dos títulos competenciales para el dictado de los preceptos impugnados, de donde se extrae la aplicación de la técnica de la coordinación y no solo la relación bases-desarrollo. Tras explicar el alcance que en la doctrina constitucional se ha dado al título competencial del art. 149.1.13 CE, señala que el sector equino es el más diverso que existe en el ámbito ganadero, de una importancia económica del 0,2 por 100 de la producción final agraria (84,3 millones de euros en 2010), siendo las rentas obtenidas por actividades relacionadas entre 700 y 800 millones de euros. Es manifiesto, en consecuencia, que concurre el citado título competencial para el dictado de la norma impugnada. Por otra parte, tras explicar el contenido del art. 149.1.16 CE y de las bases en materia sanitaria, destaca la vinculación de la norma impugnada con la mejora sanitaria de las explotaciones y con la propia salud humana, y la posibilidad de que las bases desempeñen una labor de coordinación (STC 27/1987, de 27 de febrero) para conseguir la integración de una diversidad de intereses contrapuestos de distintas Comunidades Autónomas para la protección del sector equino. En relación con las epizootias, y en contra de lo alegado en la demanda, las enfermedades expresamente previstas en el anexo II son zoonóticas y con una elevada tasa de mortalidad humana.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concreto sobre los preceptos impugnados, considera que el art. 4.3 es un desarrollo de los arts. 36, 37, 53 y 54 de la Ley 8/2003, que ofrece una mínima regulación para cada una de las condiciones que recoge por lo que no impide a las Comunidades Autónomas su competencia de desarrollo normativo. Forman parte de la competencia estatal ex art. 149.1.16 CE la regulación de aspectos tales como la concreción del área en que se realizará la explotación, así como los métodos de aislamiento del exterior, control eficaz de entradas y salidas; formas y condiciones de la correcta limpieza y desinfección de vehículos; calzado de operarios y visitantes, locales y material y utensilios en contacto con los animales, método de garantizar el agua en cantidad y calidad; sistemas apropiados para el manejo de animales; ubicación y tamaño del material de construcción; medios adecuados de aislamiento de animales sospechosos de estar afectados por enfermedades contagiosas, forma y tamaño de los estercoleros, si en las concentraciones deben o no disponer de dispositivos de ducha para caballos y asistencia veterinaria y en tal caso sus características. Resultan de plena aplicación los razonamientos de las SSTC 158/2011 y 162/2011, que encuadran en la materia básica la regulación de las condiciones de funcionamiento de las explotaciones. El art. 4.3 es, por tanto formal y materialmente básico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4.5 desarrolla para el sector equino las condiciones necesarias para garantizar el bienestar animal, y utiliza las mismas expresiones genéricas y abiertas que fácilmente permiten apreciar la posibilidad de un posterior desarrollo normativo. Se inscribe en la materia sanidad, pues se dirige a mejorar la sanidad animal estableciendo unas mínimas medidas preventivas, y es formal y materialmente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la demanda como principal razón impugnatoria del art. 6.1 y del anexo IV la previa existencia de una regulación autonómica del libro de explotación, pero ello es irrelevante para invalidar la regulación básica posterior. Ambos vienen a desarrollar lo dispuesto en los arts. 38.2, 39 y 56.2 de la Ley 8/2003. Se trata de una regulación de mínimos que tiene, además, un carácter flexible pues el párrafo segundo establece determinadas excepciones y la posibilidad de que las autoridades competentes eximan su llevanza a cierto tipo de explotaciones, mientras que los datos que deben figurar son mínimos, sin que el libro de explotación cumpla una función meramente instrumental. Al contrario, este contenido mínimo sirve para garantizar la trazabilidad de la carne de équidos debiendo incardinarse en la materia sanidad, tal y como señala la STC 158/2011.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8.2 y el anexo III del Real Decreto 804/2011, señala el Abogado del Estado que a pesar del marcado carácter técnico que concurre en el precepto impugnado y que le obliga a ser extenso para definir las materias que comprende, deja amplio margen para el desarrollo normativo. Además los programas del Anexo III son voluntarios, solo se aplican a un reducido número de animales —aquellos que se destinen a la monta natural— siendo el único efecto el de impedir que los animales que adolezcan de una calificación sanitaria oficial frente a ambas enfermedades puedan ser destinados a este tipo de monta. A las calificaciones sanitarias se refiere el art. 44 de la Ley 8/2003. Estas se obtienen por la realización de una serie de pruebas que el anexo II detalla. En lo que se refiere a los controles analíticos con toma de muestras, el anexo III se limita a reproducir el manual de pruebas de diagnóstico y de las vacunas de la Organización Mundial de la Salud. Se trata de una medida técnica indispensable para garantizar la homogeneidad técnica que haga posible la coordinación (STC 32/1983,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marzo de 2015,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cuestiona en este proceso la constitucionalidad de los apartados 3 y 5 del art. 4; el apartado 1 del art. 6; el apartado 2 del art. 8 y los anexos III y IV del Real Decreto 804/2011, de 10 de junio, por el que se regula la ordenación zootécnica, sanitaria y de bienestar animal de las explotaciones equinas y se establece el plan sanitario equino. Entiende la Comunidad Autónoma recurrente que el Estado ha excedido sus títulos competenciales vulnerando las competencias asumidas estatutariamente. Por el contrario, el Abogado del Estado sostiene que todos los preceptos impugnados son manifestación del correcto ejercicio de la competencia que atribuye al Estado el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este conflicto debemos comenzar por realizar su encuadramiento competencial. La Generalitat de Catalunya no discute que la norma impugnada se haya dictado en ejercicio de las competencias que ostenta el Estado ex art. 149.1.13 y 16 CE, tal y como establece la disposición final segunda del Real Decreto 804/2011. Su discurso gira en torno a que los concretos preceptos impugnados han sido dictados en ejercicio de la competencia básica en materia de sanidad, que ha sido extravasada por el Estado, dada en algunos casos la obviedad y redundancia de sus determinaciones y, en otros, su prolijidad. El Abogado del Estado, aunque inicialmente señala que concurren ambos títulos competenciales para el dictado de la norma, después, al analizar los preceptos recurridos, se refiere única y exclusivamente al contemplado en el art. 149.1.16 CE, esto es, a la competencia del Estado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tal y como ha reconocido la doctrina constitucional, la competencia estatal de bases y coordinación de la planificación de la economía se proyecta en el subsector de la ganadería, habida cuenta de la relación reconocida y expresa que tiene con la política económica general (SSTC 145/1989, FJ 5; 158/2011, de 19 de octubre, FJ 8 y 207/2011, de 20 de diciembre, FJ 7). Así, este Tribunal ha afirmado que corresponde al Estado, en virtud de su competencia de ordenación general de la economía, establecer las directrices globales de ordenación y regulación del mercado agropecuario nacional, quedando reservada a la Comunidad Autónoma la competencia para adoptar, dentro del marco de esas directrices generales, todas aquellas medidas que no resulten contrarias a las mismas, sino complementarias, concurrentes o neutras, de tal forma que estando encaminadas a mejorar las estructuras de su propia agricultura y ganadería no supongan interferencia negativa o distorsionen la ordenación general establecida por el Estado, sino más bien que sean coadyuvantes o inocuas para esta ordenación estatal. Y, junto a ello, este Tribunal ha reconocido la competencia autonómica para adoptar las disposiciones necesarias en complemento del derecho comunitario europeo y para ejecutar y aplicar en su ámbito territorial normativa comunitaria siempre que, ratione materiae, las Comunidades Autónomas ostenten esa competencia y no rebasen la linde establecida por la normativa comunitaria y la estatal básica o de coordinación (STC 104/2013, de 25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doctrina constitucional ha puesto de manifiesto el juego del título competencial del art. 149.1.16 CE, en el subsector ganadería (entre otras SSTC 32/1983, de 28 de abril, FJ 3, y158/2011, de 19 de octubre, FJ 10). Así lo reconoció este Tribunal al afirmar que las epizootias que hayan de afectar al ganado se inscriben competencialmente en la materia de sanidad (SSTC 32/1983, de 28 de abril, FJ 3, y 192/1990, de 29 de noviembre, FJ 2), competencia que comprende también las medidas de prevención y lucha contra las enfermedades de los animales, tal y como ha afirmado la STC 158/2011, de 19 de octubre, FJ 10. La competencia estatal de sanidad incluye el establecimiento de las bases y la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116.1 d) del Estatuto de Autonomía de Cataluña (EAC) atribuye en exclusiva a la Comunidad autónoma recurrente la sanidad animal cuando no tenga efectos sobre la salud humana y la protección de los animales. Al mismo tiempo, la competencia compartida en materia de sanidad y salud pública incluye la sanidad animal con efectos sobre la salud humana [art. 162.3 b) EAC]. De ello hay que entender que la competencia sobre sanidad animal en el sector ganadero es sustancialmente una competencia sanitaria aunque se proyecte en éste ámbito. Tal y como precisó la STC 31/2010, FFJJ 59, 60 y 64, la asunción por la Comunidad Autónoma de competencias exclusivas no impide el ejercicio de las exclusivas del Estado ex art. 149.1 CE, sea cuando éstas concurren con las autonómicas sobre el mismo espacio físico u objeto jurídico, sea cuando se trate de materias de competencia compartida, cualquiera que sea la utilización de los términos “competencia exclusiva” o “competencias exclusivas” en los preceptos del Estatuto. En aplicación de esta doctrina, las competencias asumidas por la Comunidad Autónoma en el apartado d) del art. 116.1 EAC están limitadas por las citadas competencias estatales, y así lo tuvo en cuenta la STC 6/2014, de 27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afirmado, cabe señalar que, a la hora de abordar la acomodación de los concretos preceptos impugnados al orden constitucional de competencias, debe partirse de la más específica en que estos se sustentan que es, por otra parte, la técnica utilizada en la Sentencia más reciente en materia de ganadería, la STC 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esta labor, que acometeremos en los siguientes fundamentos jurídicos, se tendrá en cuenta el contenido de los preceptos impugnados y la finalidad que éstos persiguen, no sin antes rechazar el argumento de la Abogacía del Estado, según el cual el alcance de las competencias estatales sería más intenso dado que las obligaciones internacionales asumidas por el Estado obligan a reforzar la homogeneización de los aspectos técnicos y operativos. Pues bien, el reparto interno de competencias no viene prejuzgado por el Derecho comunitario europeo que, salvo excepción, reconoce a los Estados miembros plena autonomía para ordenar la organización interna y el procedimiento destinado al desarrollo y ejecución del Derecho europeo conforme a las propias normas nacionales. En conclusión, este tipo de cuestiones deben resolverse exclusivamente conforme a las normas constitucionales y estatutarias de distribución de competencias, tal y como este Tribunal ha señalado en reiteradas ocasiones. En concreto, en materia de ganadería, cabe citar por todas la STC 79/1992, de 28 de mayo,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impugna el apartado 3 del art. 4 del Real Decreto 804/2011, “condiciones generales de las construcciones e instalaciones”,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explotación se situará en un área delimitada, aislada del exterior y que permita un control eficaz de entradas y salidas de vehículos, personas y animales mediante un vallado perimetral o sistemas equivalentes.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explotación dispondrá de un sistema apropiado a las características de cada explotación para la correcta limpieza y desinfección de vehículos, calzado de los operarios y visitantes, y locales, material y utensilios que están en contacto con los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Deberán disponer de agua en cantidad y calidad higiénica adecuadas para los animales y de dispositivos de reserva de agua o sistemas equivalentes que aseguren su suministro adecuado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Deberán disponer de sistemas apropiados de manejo de los animales, diseñados para facilitar la aplicación de medidas zootécnicas así como los trabajos de identificación y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Dispondrán de un almacén o área destinada específicamente al almacenamiento de piensos que evite su deterioro, la contaminación por agentes exógenos y el acceso de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Contarán con medios adecuados para la observación y aislamiento de animales sospechosos de estar infectados por enfermedades infecciosas o infectados por las mismas, con arreglo a las características de la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Para la gestión de los estiércoles generados en las instalaciones de estabulación, deberán disponer de estercoleros impermeabilizados natural o artificialmente, que eviten el riesgo de filtración y contaminación de las aguas superficiales o subterráneas, con capacidad suficiente para permitir la gestión adecuada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el caso de concentraciones de équidos para concursos o competiciones o para actividades de carácter lúdico o cultural deberán, si la autoridad competente así lo considera necesario, disponer de dispositivos de ducha para caballos y tener acceso a asistencia veterinaria.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lo previsto en la letra a) no será de aplicación a las poblaciones de équidos que vivan en condiciones silvestres o semi-silvestres, lo previsto en las letras b), e), f) y g) no serán de aplicación a las explotaciones equinas extensivas, y lo establecido en las letras b), d), e) y f) g) no serán de aplicación a las explotaciones equinas de pequeña capacidad aunque deberán realizar una adecuada gestión de estiércoles.”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impugnado desarrolla los arts. 36, 37 y 54 de la Ley 8/2003, de sanidad animal. En concreto el art. 36.2 de dicha Ley prevé que las condiciones sanitarias básicas que deben cumplir las explotaciones de animales serán las que establezca la normativa vigente. En todo caso, las explotaciones intensivas y los alojamientos en las extensivas deberán estar aislados, de tal forma que se limite y regule sanitariamente el libre acceso de personas, animales y vehículos. El art. 37 establece que cualquier actividad de explotación animal estará supeditada a la eliminación higiénica de efluentes, subproductos de explotación, residuos de especial tratamiento y cadáveres, de acuerdo con las normas de sanidad animal, salud pública y protección del medio ambiente. Finalmente el art. 54 al regular los requisitos para la autorización de certámenes pecuarios, que corresponde al órgano competente de la Comunidad Autónoma en que radiquen, exige que tengan un emplazamiento higiénico, con unas instalaciones adecuadas, y estar distanciados de explotaciones ganaderas o instalaciones que puedan ser fuente o vehículo de enfermedades de los animales; disponer de medios humanos, materiales y técnicos necesarios para asegurar el correcto desarrollo del certamen, así como un centro de limpieza y desinfección en, al menos, los certámenes de ganado de carácter nacional o en los que se pretenda destinar los animales a comercio intracomunitario. Este precepto remite al reglamento para el resto de requisitos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su contenido, no cabe duda de que la competencia estatal que se relaciona más efectivamente con el apartado impugnado es la sanidad, materia en la que el Estado dispone, ex art. 149.1.16 CE, de la capacidad para establecer las normas básicas y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inclusión de normas básicas en una disposición reglamentaria obliga a determinar si son formal y materialmente básicas. La disposición final quinta de la Ley 8/2003 autoriza al Gobierno a dictar cuantas disposiciones sean precisas para la aplicación y desarrollo de esta Ley, de manera que una interpretación sistemática de la misma debe llevar a entender que la remisión a la “normativa vigente” que realiza el art. 36.2 para la determinación de las condiciones sanitarias básicas, o la llamada del art. 37 a las “normas de sanidad animal”, o finalmente la remisión al reglamento para completar los requisitos exigidos a los certámenes, lejos de establecer una reserva de competencia autonómica, como alega la Comunidad recurrente, incluye el desarrollo por el Gobierno, en una materia esencialmente técnica, de lo regulado en la propia ley en lo que sea preciso para garantizar el mínimo denominador común de aplicación en todo el territorio, que es, en definitiva, lo que supone la legislación básica. Ello no es óbice para que, aun cuando lo básico pueda, como ocurre en este caso, tener acomodo en una norma reglamentaria, le sea exigible, como a las leyes, que su carácter básico se declare expresamente en la norma o se infiera de su estructura en la misma medida para evitar elementos de confusión e incertidumbre (STC 158/2011, de 19 de octubre, FJ 7). Este requisito se ve satisfecho por la disposición final segunda del Real Decreto cuestionado cuando establece que se dicta al amparo de lo dispuesto en el artículo 149.1.13 y 16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señalado conduce a considerar que la Ley 8/2003 otorga cobertura al precepto impugnado, en cuanto que establece, para un concreto tipo de explotaciones ganaderas, las equinas, prescripciones técnicas sanitarias y relativas al tratamiento para la eliminación de un tipo de subproducto, el estiércol, directamente relacionado con la sanidad animal y humana, con el medio ambiente etc. Ello, junto con la afirmación de su carácter básico por la disposición final segunda del reglamento impugnado, permite entender justificado el cumplimiento de las exigencias de la normativa básica desde la perspectiva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Materialmente, todas estas medidas —aislamiento y control de entradas; sistema de limpieza y desinfección; agua; sistemas de tratamiento de animales adaptados a la aplicación de medidas zootécnicas; aislamiento de alimentos para caballos; observación de animales sintomáticos, medidas de limpieza de équidos en los certámenes y medidas de eliminación del estiércol— tienen la finalidad de minimizar los riesgos sanitarios y medioambientales de todo orden que generan estas explotaciones y la eliminación de sus residuos. Ahora bien, como recuerdan las SSTC 207/2011, de 20 de diciembre, FJ 8, y 158/2011, FJ 10, estas normas básicas deben ser de mínimos, pudiendo ser completadas con mayor rigor de protección por las Comunidades Autónomas sin que lo básico tenga vetado la regulación de lo obvio, redundante o propio del sentido común, pues corresponde al Estado definir el contenido material de lo básico siempre que se respeten los límites anteriormente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las prescripciones que contiene el apartado impugnado utilizan conceptos indeterminados que permiten su concreción por la Comunidad Autónoma a quien corresponde la definición de los sistemas de cerramiento equivalentes al vallado, de los controles eficaces de salidas; de los sistemas de desinfección, de la cantidad y calidad del agua, de los sistemas de manejo de animales, de las características del almacén de piensos, de los medios para la observación de los animales, de las formas de impermeabilización de estercoleros y su capacidad,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apartado 3 del art. 4 del Real Decreto 804/2011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 el apartado 5 del art. 4, “condiciones para garantizar el bienestar animal”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previsto en la Ley 32/2007, de 7 de noviembre, para el cuidado de los animales en su explotación, transporte y sacrificio, deberán cumplirse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explotaciones dispondrán de instalaciones o sistemas apropiados que permitan, en la medida en que sea necesario y posible, la protección contra las inclemencias del tiempo y los depredadores.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materiales que se utilicen para la construcción, en particular de recintos y de equipos con los que los animales puedan estar en contacto, no deberán ser perjudiciales para los animales y deberán poderse limpiar y desinfectar a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instalaciones para alojar a los animales se construirán y mantendrán de forma que no presenten bordes afilados ni salientes, que puedan causar heridas a los animales, y que contemplen el necesario vallado en función del tipo de explotación, salvo, en este último caso, en las explotaciones extensivas, pastos y de animales silvestres o semisilvestres.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interior de las construcciones donde se alojen animales, la circulación del aire, el nivel de polvo, la temperatura, la humedad relativa del aire y la concentración de gases deben mantenerse dentro de los límites que no sean perjudiciales.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se limitará la libertad de movimientos propia de los animales de manera que se les cause sufrimiento o daños innecesarios, teniendo en cuenta la edad del animal y su estado fisiológico.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animales deberán recibir una alimentación sana, que sea adecuada a su edad y especie y en suficiente cantidad con el fin de mantener su buen estado de salud y de satisfacer sus necesidades de nutrición. Todos los animales deberán tener acceso al agua, en cantidad y calidad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materia más directamente afectada en este caso es la sanidad animal, en la que debe circunscribirse el bienestar animal por la estrecha relación que guarda con ésta. En concreto, el art. 4 de la Ley 32/2007, de 7 de noviembre, para el cuidado de los animales, en su explotación, transporte, experimentación y sacrificio, determina que las Administraciones públicas adoptarán las medidas necesarias para asegurar que, en las explotaciones, los animales no padezcan dolores, sufrimientos o daños inútiles, para lo que se tendrá en cuenta su especie y grado de desarrollo, adaptación y domesticación, así como sus necesidades fisiológicas y etiológicas, de acuerdo con la experiencia adquirida, los conocimientos científicos y la normativa comunitaria y nacional de aplicación en cada caso. La disposición sexta de esta Ley autoriza al Gobierno, en el ámbito de las competencias del Estado, a dictar cuantas disposiciones sean precisas para la aplicación y desarrollo de esta Ley, y en particular, para concretar el régimen de infracciones y sanciones dispuesto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concluir, por las mismas razones señaladas en relación al apartado cuarto de este mismo precepto, que esta regulación es formal y materialmente básica. Lo es formalmente a la vista de la remisión que la disposición final sexta realiza al desarrollo reglamentario del Gobierno sin perjuicio de la competencia de las Administraciones competentes para su desarrollo, y de la disposición final segunda del reglamento impugnado que afirma su carácter básico. Materialmente, porque todas las prescripciones establecidas en el apartado impugnado tienden a garantizar que los équidos no sufran dolor, padecimiento o daños inútiles, dejando un amplio margen de desarrollo normativo a las Comunidades Autónomas, ya que los conceptos jurídicos indeterminados que se utilizan para la determinación de las bases, tales como instalaciones apropiadas; materiales no perjudiciales, límites que no sean perjudiciales, edad del animal y estado fisiológico etc. permiten su concreción por la Comunidad Autónoma. Esta conclusión se ve corroborada, a mayor abundamiento, por la propia recurrente cuando afirma que se trata de obviedades y redundancias y que, precisamente por ello, no tienen cabida en el título de lo básico. En razón de lo expuesto, el apartado 5 del art. 4 del Real Decreto 804/2011 no vulnera las competencias de la Comunidad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6.1 del reglamento impugnado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libro de explotación, que podrá ser llevado de forma electrónica, deberá tener un formato aprobado por la autoridad competente y deberá contener los datos mínimos que se indican en el anexo IV. No obstante lo anterior, el libro de explotación de los mataderos podrá no incluir los datos contenidos en los párrafos b), f), g), j), k) y l) del anexo IV, debiendo, además, en cualquier caso, retener el DIE del animal sacrificado, y hacer constar en el libro de explotación que se ha comprobado que en el DIE adjunto consta expresamente, en la parte II de su sección IX, que se trata de un animal destinado desde su origen al sacrificio para consumo humano. Lo señalado en este apartado se entenderá sin perjuicio del resto de comprobaciones de las restantes secciones del DIE y sin perjuicio del resto de información que debe tener en su poder a efectos del cumplimiento del Real Decreto 361/2009, de 20 de marzo, por el que se regula la información sobre la cadena alimentaria que debe acompañar a los animales destinados a sacrificio, y de acreditación de lo exigido en el Real Decreto 54/1995, de 20 de enero, sobre protección de los animales en el momento de su sacrificio o matanza y, en este último caso, a 	partir del 1 de enero de 2013, en el Reglamento (CE) n.º 1099/2009, del Consejo, de 24 de septiembre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del anexo IV titulado “contenido mínimo del Libro de explotación",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Código REGA de la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Nombre, coordenadas geográficas y/o dirección de la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Identificación del titular, NIF, pasaporte o tarjeta de residencia, dirección completa y, en su caso, teléfono fijo y/o móvil, y/o fax.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Códigos de identificación de los animales presentes en la explotación, de acuerdo con lo establecido en el Real Decreto1515/2009, de 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Especie, sexo, raza y fecha de nacimiento del animal.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Inspecciones y controles: fecha de realización, motivo, número de acta, en su caso, e identificación 	del veterinario actuante.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Nacimientos y muertes en la explotación con la fecha del suceso.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Posibles incidencias en la identificación de los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Entrada de animales: fecha, código de la explotación de procedencia, identificación del animal número de guía, certificado sanitario o documento de traslado, identificación del transportista y número de matrícula del vehículo y, en su caso, de la parte del medio de transporte que contenga a los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Salida de animales: fecha, código de la explotación de destino, identificación del animal y número de guía, certificado sanitario o documento de traslado.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Identificación de las personas al cuidado de los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Nombre, apellidos y firma del representante de las autoridades competentes que haya comprobado el 	registro y la fecha en la que se llevó a cabo la comprobación.”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6.1 impugnado así como el anexo, que determina el contenido mínimo del libro de explotación, deben analizarse en el contexto que establece la Ley 8/2003, de sanidad animal. El art. 38 de la citada Ley regula el registro y libro de explotación, sobre el que tienen competencias las Comunidades Autónomas en la que radiquen las explotaciones, aunque contempla la existencia de un registro nacional de carácter informativo, directamente relacionado con el sistema de identificación (art. 39 de la Ley 8/2003) de las especies animales a la que nuestro Estado viene obligado por la Directiva 92/102/CEE del Consejo, de 27 de noviembre de 1992, relativa a la identificación y al registro de animales, incorporada al ordenamiento jurídico español por el Real Decreto 205/1996, de 9 de febrero, por el que se establece un sistema de identificación y registro de las especies bovina, porcina, ovina y caprina. Esta obligación del derecho europeo ha sido ampliada por el Estado español, en la Ley de sanidad, a todas las explotaciones ganaderas ubicadas en España, siendo el Real Decreto 479/2004, de 26 de marzo, el que regula este registro (REGA) así como los datos necesarios para llevar a cabo las inscripciones y la caracterización del código de identificación de cada explotación. El registro general de explotaciones ganaderas se nutre de los datos obrantes en los registros gestionados por los órganos competentes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materia en la que se inscribe el apartado impugnado tiene, en consecuencia, directa conexión con la sanidad animal a la que sirve la identificación de las especies, pues tal y como este Tribunal afirmó en la STC 158/2011, de 19 de octubre, FJ 11: “No existe duda, por tanto, que la identificación del ganado forma parte de un conjunto de medidas sanitarias dirigidas a la prevención y lucha contra las enfermedades de los animales, siendo más específica esta finalidad que otras de orden económico o medioambiental que, sin duda, también están presentes”. El apartado impugnado es formalmente básico, pues constituye un desarrollo para las explotaciones equinas de la previsión de los arts. 38 y 39 de la Ley 8/2003, amparado por la disposición final quinta de esta norma legal. Y es materialmente básico pues se limita a establecer cuándo es exigible, a determinar que podrá ser llevado de forma electrónica, que deberá tener un formato aprobado por la autoridad competente y deberá contener los datos mínimos que se indican en el anexo IV, según el tipo de explotación, dejando un margen de desarrollo normativo a las Comunidades Autónomas. En concreto, es necesaria la determinación de los datos mínimos para que el registro general de explotaciones ganaderas pueda cumplir su función informativa, sin perjuicio de que la Comunidad Autónoma recurrente pueda ampliarlos en aquello que considere necesario para el ejercicio de sus competencias y, en especial, de la asumida en materia de ganadería.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el apartado 2 del art. 8 del Real Decreto 804/2011 (“El programa de control se realizará de acuerdo a lo establecido en las partes I y II del anexo III”) y el anexo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apartado se inscribe en el art. 8, relativo a los programas sanitarios de control oficial de enfermedades equinas y de vigilancia epizootiológica, cuya ejecución corresponde a la Comunidad Autónoma. El anexo III regula los programas de control oficial frente a dos enfermedades de transmisión sexual, la arteritis viral equina (parte I) y la metritis contagiosa equina (parte II), estableciendo qué caballos, de todos los reproductores, están sujetos al programa —los destinados a la monta natural—, la periodicidad del control analítico y las condiciones para realizarlo, las técnicas analíticas a utilizar para la identificación del virus; las calificaciones sanitarias; las normas para la cubrición, y el protocolo sanitario para realizar las vacunaciones.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materia afectada es sin duda la sanidad, en la que se inscriben las enfermedades animales y las técnicas preventivas de las mismas (STC 158/2011, de 19 de octubre, FJ 10). Alega la Comunidad recurrente que el art. 8.2, puesto en relación con el anexo III, establece una regulación de las competencias de ejecución autonómicas que determina su ejercicio cuando se trata de enfermedades que no tienen incidencia sobre la salud humana por lo que no requerirían de una función de coordinación tan intensa.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función de coordinación, en concreto en materia sanitaria, este Tribunal ya afirmó en la STC 32/1983, de 28 de abril, FJ 2 que persigue la integración de la diversidad de las partes o subsistemas en el conjunto, evitando contradicciones y reduciendo disfunciones que, de subsistir, impedirían o dificultarían respectivamente la realidad misma del sistema. Por ello, aunque constituye un reforzamiento o complemento de la noción de bases, es una competencia distinta a la de fijación de las bases, y presupone lógicamente que hay algo que debe ser coordinado, esto es, presupone la existencia de competencias de las Comunidades Autónomas en materia de sanidad. El Estado, al coordinarlas, debe obviamente respetarlas, pues ni la fijación de bases ni la coordinación general deben llegar a tal grado de desarrollo que dejen vacías de contenido las correspondientes competencias de las Comunidades Autónomas. En definitiva, debe ser entendida como la fijación de medios y de sistemas de relación que hagan posible la información recíproca, la homogeneidad técnica en determinados aspectos y la acción conjunta de las autoridades sanitarias estatales y comunitarias en el ejercicio de sus respectivas competencias de tal modo que se logre la integración de actos parciales en la globalidad del sistema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observarse que la regulación técnica que incluye el anexo III sólo afecta al control de la arteritis viral equina y la metritis contagiosa equina, quedando el resto de las enfermedades mencionadas en el anexo II sujetas a los programas de vigilancia epizootiológica que las Comunidades Autónomas establezcan. Si a ello se añade que los programas afectan a un número muy limitado de animales y contienen normativa técnica que pretende garantizar, a través incluso de la remisión a protocolos internacionales de los sistemas de análisis, la fiabilidad de los controles a efectos de impedir la extensión de estas dos enfermedades, no cabe afirmar que las competencias de ejecución de la Comunidad Autónoma en materia de vigilancia sanitaria animal hayan sido predeterminadas o vaciadas de contenido. Por tanto, ni el art. 8.2 ni el anexo III del reglamento impugnado vulneran las competencias de la Comunidad Autónoma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competencias interpuesto por la Generalitat de Catalunya.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Luis Ignacio Ortega Álvarez y don Fernando Valdés Dal-Ré a la Sentencia dictada en el conflicto positivo de competencia núm. 5937-2011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(LOTC) y con pleno respeto a la opinión de la mayoría del Tribunal, debemos manifestar nuestra discrepancia con la Sentencia dictada, por las razones ya defendidas en su momento durante la deliberación y que expresamos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consideramos que la Sentencia hubiera debido abordar el encuadramiento de la presente controversia en el sistema material de distribución de competencias entre el Estado y las Comunidades Autónomas de forma mucho más precisa y cuidadosa en relación tanto con los preceptos constitucionales y estatutarios aplicables como con la doctrina constitucional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aborda esta cuestión en su fundamento jurídico 2 y lo hace de una forma extremadamente somera, sin examinar con el detalle y la precisión que hubieran resultado necesarios, los títulos autonómicos que se relacionan con la competencia estatal en materia de sanidad ex art. 149.1.16, que es la aquí concernida. La Sentencia solventa la cuestión con la mera cita de los títulos autonómicos de los arts. 116.1 d) y 162.3 b) del Estatuto de Autonomía de Cataluña (EAC) y la afirmación de que “la competencia sobre sanidad animal en el sector ganadero es sustancialmente una competencia sanitaria aunque se proyecte en éste ámbito”, para luego concluir que “las competencias asumidas por la Comunidad Autónoma en el apartado d) del art. 116.1 EAC están limitadas por las citadas competencias estatales, y así lo tuvo en cuenta la STC 6/2014, de 27 de enero,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en su dicción literal el art. 116.1 d) EAC atribuye a la Comunidad Autónoma, en el marco de sus competencias sobre agricultura y ganadería, la competencia exclusiva en materia de “sanidad vegetal y animal cuando no tenga efectos sobre la salud humana y la protección de los animales”. Paralelamente, en el art. 162.3 b) EAC, la competencia compartida se circunscribe a la “sanidad animal con efectos sobre la salud humana”. Interesa advertir que la sanidad animal sin efectos sobre la salud humana no se concibe por el Estatuto de Autonomía de Cataluña como parte integrante de la “sanidad” y la “salud pública”, sino de la “agricultura y ganadería”. Por su parte la sanidad animal con efectos sobre la salud humana se integra en la materia “sanidad”, más específicamente la “salud pública”. Es cierto que la referencia del art. 116 EAC al 149.1.16 CE evidencia que la “sanidad animal que no tenga efectos sobre la salud humana” no queda, como podría parecer en primera instancia, circunscrita, respecto al título de intervención estatal, al mero ámbito de la ordenación de la economía del sector primario sino también vinculada al título constitucional de “sanidad”.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Señalado lo anterior, es claro que, atendiendo al objeto y finalidad de las normas impugnadas, nos hallaríamos en el ámbito del art. 149.1.16 CE en relación con lo dispuesto en el art. 116.1 d) EAC. Así, el adecuado encuadramiento competencial requería interpretar el alcance de las citadas competencias autonómicas cuando no esté comprometida la salud humana, como es el caso. La Sentencia no lleva a cabo esta operación, más que de modo somero y por referencia a jurisprudencia anterior, que no se cita correctamente y que no se ha adentrado en el análisis de los citados títulos competenciales estatutarios, que específicamente acotan un ámbito de competencias a favor de la Comunidad Autónoma lógicamente más intenso cuando no está en juego la salud humana. En cuanto a lo primero estimamos que la correcta lectura de la doctrina de las SSTC 32/1983, de 28 de abril, FJ 3; 192/1990, de 29 de noviembre, FJ 2; y 158/2011, de 19 de octubre, FJ 9, lleva a conclusiones mucho más matizadas respecto al alcance de la competencia estatal, pues aunque, conforme a la doctrina las epizootias que hayan de afectar al ganado se inscriben competencialmente en la materia de sanidad, eso no puede servir para legitimar cualquier tipo de medida estatal. De hecho las examinadas en las Sentencias citadas se referían esencialmente a medidas de naturaleza coordinadora, que presupone la actuación autonómica, o preventivas y, en este caso, es patente que, al menos alguna de las normas impugnadas, exceden, con mucho, dichos ámbitos.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Hay también un segundo problema de principio en la Sentencia, que consiste en su argumentación acerca de la necesaria “densidad normativa” de las bases estatales. En nuestra opinión esta construcción, en la que late la idea de que lo que es obvio ha de ser necesariamente básico, se sitúa a espaldas de la doctrina constitucional sobre la noción de lo básico. Como es conocido esa doctrina ha tenido un desarrollo muy extenso y matizado, que entre otras cosas implica la necesidad de analizar en una perspectiva forzosamente casuística el contenido de cada precepto calificado como básico, en el contexto de las finalidades a las que sirve y de su propio contenido. Es cierto que esa aproximación en la práctica ha dado como resultado una interpretación no precisamente restrictiva del alcance de lo básico en la doble perspectiva material y formal, pero estimamos que el Tribunal debiera evitar utilizar argumentos que, con escaso fundamento en su doctrina, pueda expandirla todavía más, lo que sucedería si se consagra esta idea de la escasa densidad normativa como consustancial a lo básico.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combinación de ambos elementos, produce como resultado un enjuiciamiento más que condescendiente con la regulación estatal que conduce a la desestimación integra del conflicto, cuando una adecuada delimitación competencial y un entendimiento de lo básico ajustado a los parámetros de nuestra doctrina hubiera debido conducir a conclusiones algo diferentes. Ello es particularmente patente en el caso de los arts. 4.5 y 8.2 en su remisión al anexo III.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al primero de ellos, relativo a las denominadas “condiciones para garantizar el bienestar animal”, la Sentencia simplemente afirma que “la materia más directamente afectada en este caso es la sanidad animal, en la que debe circunscribirse el bienestar animal por la estrecha relación que guarda con ésta”. A nuestro juicio, la inclusión sin matices de la materia “bienestar animal” en la “sanidad animal” y, con ello, en el ámbito de la legislación básica en materia de sanidad (art. 149.1.16 CE) es un nuevo ejemplo de injustificada expansión de la competencia estatal, en la medida en que la Sentencia no repara solo en que el tratamiento de la “protección de los animales” figura en el Estatuto de Autonomía de Cataluña como competencia exclusiva autonómica, cuanto tampoco en que resulta evidente que, dado el tenor literal del precepto, no se refiere a cuestiones relacionadas con epizootias a las que, según la doctrina que la Sentencia dice aplicar, sería de aplicación el título estatal en materia de sanidad. El bienestar animal, que ha sido objeto de amplia regulación en el Derecho europeo, tiene una regulación cuidadosamente limitada por razones competenciales en la Ley estatal 32/2007, de 7 de noviembre, para el cuidado de los animales, en su explotación, transporte, experimentación y sacrificio. Quiere decirse con ello que no se trata de negar la competencia del Estado para regular determinados aspectos del bienestar animal, pero consideramos a todas luces excesivo reconducir toda la regulación al ámbito de la competencia estatal sobre legislación básica en materia de sanidad, como parece apuntar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el razonamiento de la Sentencia acerca del anexo III impugnado es sumamente discutible pues, en esencia, lo que viene a sostenerse es que la detallada regulación del programa de control que contiene sólo afecta a dos enfermedades y que, puesto que el resto de las previstas en la norma quedan sujetas a los programas de vigilancia epizootiológica que las Comunidades Autónomas establezcan, eso hace que no se vulneren sus competencias. Pero eso no es, en realidad, lo que debía resolverse, sino que lo hubiera debido determinarse es la razón por la que era necesaria esa detallada intervención estatal en relación, precisamente, con esas dos enfermedades, para lo que es absolutamente indiferente que, con respecto a las restantes, no se vulnerasen las competencias autonómicas. Antes al contrario, el contraste entre los anexos II y III del Real Decreto hace todavía más necesaria una indagación que la Sentencia renuncia a realizar, consagrando, nuevamente, una interpretación sumamente expansiva de las competencias estatales.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marzo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