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6368-2013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pretendida.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inconstitucionalidad núm. 6368-2013 interpuesto por la Generalitat de Cataluña contra los arts. 7 y 8.5 del Real Decreto-ley 11/2013, de 2 de agosto, para la protección de los trabajadores a tiempo parcial y otras medidas urgentes en el orden económico y social se ha dictado la STC 27/2015, de 19 de febrero, notificada a las partes el 25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General de este Tribunal el día 27 de febrero de 2015, la Abogada de la Generalitat de Cataluña solicita la aclaración de la citada Sentencia señalando que en la misma se omite un pronunciamiento específico sobre la titularidad de la competencia. Así, tras aludir al art. 92 de la Ley Orgánica del Tribunal Constitucional (LOTC) y al art. 267.5 de la Ley Orgánica del Poder Judicial (LOPJ), que entiende de aplicación supletoria ex art. 80 LOTC, formula las consideraciones siguientes. Alude en primer lugar al objeto del recurso de inconstitucionalidad y a las dos pretensiones formuladas en el mismo, la declaración de nulidad de los preceptos impugnados tanto por vulneración del art. 86.1 CE como por infracción del orden constitucional de distribución de competencias. Señala, igualmente, que presentó un escrito ante este Tribunal poniendo de manifiesto la convalidación del Real Decreto-ley y su consiguiente tramitación como proyecto de ley por el procedimiento de urgencia, culminado con la aprobación de la Ley 1/2014, de 28 de febrero, para protección de los trabajadores a tiempo parcial y otras medidas urgentes en el orden económico y social, escrito en el que se ponía de manifiesto la subsistencia de la controversia competencial planteada. Pese a ese doble fundamento del recurso, la Abogada de la Generalitat indica que la Sentencia, tras reconocer la pervivencia de la controversia competencial, omite el pronunciamiento sobre el orden de distribución competencial y la titularidad de la competencia controvertida, limitándose a declarar la inconstitucionalidad y nulidad de los arts. 7 y 8.5 del Real Decreto-ley 11/2013 por vulneración del art. 86.1 CE. Para la Abogada de la Generalitat de Cataluña es notorio que el análisis de la infracción competencial alegada resultaba necesaria, lo que significa que la Sentencia ha incurrido en una incongruencia omisiva determinante de la indefensión de la Generalitat de Cataluña, puesto que la lesión competencial denunciada pervive en la Ley 1/2014, sin que pueda proceder a su impugnación por haber transcurrido el plazo para llevarla a cabo. Por ello, estima necesario aclarar la Sentencia, complementándola con un pronunciamiento sobre la titularidad de la competencia controvertida.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de este Tribunal la aclaración de sus Sentencias. La solicitud de aclaración ha sido presentada en el plazo legalmente establecido y por una de las partes procesales. Ahora bien, como hemos expresado en reiteradas ocasiones, la solicitud de aclaración no constituye un medio de impugnación encaminado a la sustitución o revisión de la decisión adoptada, pues contra las Sentencias del Tribunal Constitucional no cabe recurso alguno. Su objeto ha de limitarse, en consecuencia,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(por todos, ATC 94/2013, de 7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aclaración solicitada excede claramente del objeto de este trámite procesal pues, atendiendo a los términos en los que la solicitud se formula, se aprecia que, en realidad, bajo la denominación de solicitud de aclaración, se nos pide ahora un nuevo pronunciamiento acerca de los preceptos impugnados, lo que obviamente es improcedente en este momento procesal. En efecto, no procede hacer manifestación alguna que pueda conllevar alteración de la fundamentación o de la decisión de la Sentencia, dado que no existe omisión alguna sino, tal como se advierte en su fundamento jurídico 2, aplicación de la consolidada doctrina constitucional que otorga preferencia a la denunciada vulneración del art. 86.1 CE, pues según dicha doctrina (SSTC 11/2002, de 17 de febrero, FJ 2; 332/2005, de 15 de diciembre, FJ 4; 31/2011, de 17 de marzo, FJ 2; 137/2011, de 14 de septiembre, FJ 2; y 170/2012, de 4 de octubre FJ 4), su examen ha de ser prioritario en el orden de nuestro enjuiciamiento toda vez que esa tacha incide directamente sobre la validez del precepto impugnado, en función de su propia forma de aprobación, de modo que, en el caso de ser estimada, resulta innecesario el análisis de las restantes alegaciones. Además, tal planteamiento se reproduce en el fundamento jurídico 8 de nuestra Sentencia, en el que se dice de modo textual que “la estimación del recurso por el primero de los motivos expuestos por la Generalitat de Cataluña hace innecesario el examen de las restantes alegaciones de la demanda”, por lo que tampoco desde la perspectiva de la alegada incongruencia omisiva que se denuncia, cabe acoger la pretensión de la Letrada de la Generalitat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pretendida.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