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abril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6133-2014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6133-2014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16 de febrero de 2015 en el recurso de amparo núm. 6133-2014.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13 de octubre de 2014, don Rafael Muñoz Bella interpuso recurso de amparo contra el Auto de fecha 12 de agosto de 2014, dictado por el Juzgado de Primera Instancia e Instrucción núm. 2 de Parla, en el procedimiento de habeas corpus núm. 1-2013, que inadmitió a trámite la solicitud de habeas corpus.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síntesis, los hechos de los que trae causa la demanda de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fue detenido el 12 de agosto de 2014 por agentes del Cuerpo Nacional de Policía, siéndole designado Abogado del turno de oficio para su defensa. Este solicitó poder acceder al atestado policial con carácter previo a que tuviera lugar la declaración policial. No siendo atendida su petición presentó ese mismo día solicitud de habeas corpus ante el Juzgado de Primera Instancia e Instrucción núm. 2 de Parla.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la solicitud de habeas corpus, el Letrado, actuando en defensa del demandante, indicaba que se incumplía el art. 7 de la Directiva 2012/13/UE que posibilita el acceso a los materiales que obran en el expediente a fin de verificar la legalidad de la detención. Añadía que en el modelo de declaración de derechos de las personas detenidas que figura en el anexo I de dicha Directiva se contenía una especificación en dicho sentido, sin que los agentes actuantes hayan facilitado ninguna parte esencial del atestado. Afirmaba que la Directiva se haya en vigor desde el 2 de junio de 2012 y el periodo de trasposición había vencido el 2 de junio de 2014, resultando sus derechos de directa aplicación por los jueces y tribunales nacionales en su condición de jueces comunitarios. Finalizaba su exposición solicitando la admisión a trámite del escrito y que se acordara la estimación del habeas corpus por vulneración del art. 1 a) de la Ley reguladora.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 Juzgado de Primera Instancia e Instrucción núm. 2 de Parla, por Auto de 12 de agosto de 2014, se inadmitió la solicitud de habeas corpus. En el mismo señalaba que se trataba de una cuestión jurídica. Razonaba que el solicitante omitía que el límite máximo de entrega de los documentos es “el momento en que los motivos de la acusación se presenten a la consideración del tribunal”, situación que todavía no se había producido. Afirmaba que dicho límite se contempla en las consideraciones previas al articulado de la Directiva, en concreto en el número 30, que sitúa el momento en el cual debía procederse a la entrega “a más tardar antes del momento en que una autoridad judicial competente para decidir sobre la legalidad de la detención o privación de libertad”. Añadía que la Directiva 48/2013 ha concretado que debe entenderse por asistencia al detenido y que el art. 530.6 de la Ley de enjuiciamiento criminal (LECrim), que concreta el alcance de la asistencia letrada al detenido, no ha sido derogado ni declarado inconstitucional. Por último justificaba la inadmisión en que se trataba de una cuestión jurídica que puede resolverse en la fase inicial de la admisión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pie de dicha resolución se indicaba: “Notifíquese esta resolución a las partes haciendo constar que cabe presentar recurso de reforma ante este Juzgado en plazo de tres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comienza su exposición poniendo de manifiesto la negativa de los agentes de la policía a que el Letrado pudiera acceder al atestado policial y refiriendo, respecto de la solicitud de habeas corpus, que el Jugado “irregularmente inadmitió a trámite la misma mediante Auto de ese mismo día, pese a realizar alegaciones sobre el fondo de la cuestión. Estas alegaciones deberían haberse realizado una vez admitida la solicitud, oído el interesado, dando vista al Ministerio Fiscal y practicadas las oportunas pruebas, para después resolver sobre la misma (STC 32/2014, de 24/2002).”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bajo la rúbrica de “fundamentos de derecho”, entiende que “al inadmitir a limine la solicitud de habeas corpus, el Juzgado de Primera Instancia e Instrucción núm. 2 de Parla ... ha vulnerado el derecho a la impugnación de la detención (art. 17.4 CE), así como el derecho a la asistencia letrada al detenido (art. 17.3 CE) en relación con el derecho a la libertad (art. 17.1 CE), y el derecho de defensa (art. 24.2 CE) en relación con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Posteriormente dedica el apartado segundo a justificar la especial trascendencia constitucional por el “incumplimiento reiterado de la doctrina del Tribunal Constitucional”, en tanto que no procede la inadmisión a limine de las solicitudes de habeas corpus, por tanto “ya existiría un motivo, podríamos decir que formal o procesal, por la forma en que se ha dictado la resolución judicial de inadmisión impugnada, que merecería la admisión a trámite de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invoca como vulnerado el art. 17.4 CE, en relación con los arts. 17.1, 17.3 y 24.2 CE. Afirma que pese a solicitar “la incoación expresa del procedimiento de habeas corpus por entender que la detención efectuada era ilegal al no haberse respetado los derechos del detenido”, la solicitud fue inadmitida a trámite realizando “numerosas apreciaciones sobre el fondo del asunto y no sobre, estrictamente, alguno de los supuestos recogidos en el art. 4 LOHC”, contraviniendo reiterada y reciente jurisprudencia del Tribunal. Vulneración cuya trascendencia constitucional, a su juicio, refleja la STC 32/2014, que es citada de modo extenso, y le permite concluir que la “lesión subjetiva a este derecho es evidente por cuanto no se permitió a mi representado impugnar con garantías y en forma la legalidad de su detención. Más grave aún, se incumplió precisamente un procedimiento específico, previsto expresamente en la Constitución Española, que viene a velar por la protección de un derecho fundamental, obligando tal condición protectora por indicativo constitucional a mostrarse un especial cuidado a la hora de acordar las inadmisiones.” Señala que “paradójicamente inadmite el habeas corpus fundándose en razones de fondo que debería haber apreciado, o no, durante la vida del procedimiento”. Por último, solicita que el Tribunal no agote en este punto la tutela constitucional solicitada y resuelva igualmente sobre el resto de vulneraciones recogidas en este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pasa a exponer el contenido de la Directiva 2012/13/UE, de 22 de mayo, e indica que “el Juzgado de Primera Instancia e Instrucción núm. 2 de Parla, en su Auto 12 de agosto de 2012, obvió el efecto directo de la Directiva e inaplicó el artículo 7 de la misma solicitado por este Letrado”, vulnerando los derechos reconocidos en los arts. 17.1. 17.3. 24.1 y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expone ampliamente las razones por las que a su juicio se ha producido una vulneración del derecho a la asistencia letrada al detenido como garantía del derecho a la libertad (arts. 17.3 y 17 CE), así como del derecho de defensa en relación con el derecho a la tutela judicial efectiva (arts. 24.2 y 24.1 CE), por no haber tenido acceso al atestado.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febrero de 2015, la Sección Segunda del Tribunal Constitucional, acordó inadmitir a trámite el recurso de amparo toda vez que no se habían agotado debidamente todos los medios de impugnación dentro de la vía judicial [arts. 50.1 a) y 44.1 a)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20 de marzo de 2015, el Ministerio Fiscal presentó recurso de súplica frente a la providencia de inadmisión. Considera el Fiscal que la indicación sobre la procedencia del recurso de reforma que se mencionaba en el Auto de inadmisión de habeas corpus es consecuencia de un evidente error dada la claridad del art. 6, in fine, de la Ley Orgánica de regulación del procedimiento de habeas corpus (LOHC). La indicación resultaba totalmente superflua (STC 10/2006, FJ 2), por lo que no cabe la inadmisión de la demanda de amparo por falta de agotamiento, en tanto que el recurso de reforma era manifiestamente improcedente, por lo que de haber acudido al mismo hubiera prolongado indebidamente la vía judicial ordinaria “con el riesgo de incurrir la demanda de amparo en extemporaneidad”.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el hecho de no acudir al incidente de nulidad de actuaciones puede erigirse en causa de inadmisión, si bien reconoce que “es precisamente este aspecto concreto el que pudiera plantear algunas dudas razonables, tras la reforma operada por la Ley Orgánica 6/2007, de 24 de mayo”. A tal fin, examina los recursos de amparo interpuestos por el Ministerio Fiscal contra decisiones de inadmisión de habeas corpus que dieron lugar a las SSTC 12/2014, 21/2014 y 42/2015, señalando que en todos los casos fueron precedidas por la interposición del incidente de nulidad de actuaciones. Apunta, sin embargo que la ausencia del mismo no dio lugar a la inadmisión de las demandas de amparo en las SSTC 32/2014 y 195/2014 que al igual que las anteriormente citadas, otorgaron el amparo sin examinar la concurrencia del mencionado óbice procesal, circunstancia análoga se produjo en las demandas interpuestas antes de la reforma indicada y que terminaron en las SSTC 95/2012 y 88/2011. Considera que existe un alto nivel de inseguridad jurídica que hace que la interposición del incidente no sea razonablemente exigible, STC 216/2013, FJ 2 d) y que convierten en desproporcionada y excesivamente rigurosa la decisión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varias razones avalan que no se menoscabe el carácter subsidiario del recurso de amparo por el hecho de no acudir al incidente de nulidad de actuaciones: i) el procedimiento de habeas corpus tiene como objeto específico el enjuiciamiento judicial de la legalidad de la detención gubernativa practicada con el fin de lograr un control judicial inmediato de la misma; ii) el incidente de nulidad de actuaciones tras la reforma operada por la Ley Orgánica 6/2007, conforme a la doctrina constitucional es un instrumento procesal para remediar lesiones que no hayan podido denunciarse antes de recaer la resolución que ponga fin al proceso y siempre que dicha resolución no sea susceptible de recurso, no siendo exigible sino en la medida en que en el caso concretamente contemplado pudiese lograrse con su utilización la reparación de los derechos fundamentales pretendidamente vulnerados (STC 176/2013, FJ 3). Afirma que sea formalmente procedente no puede reprocharse al demandante que no lo plantease cuando resultase materialmente inútil porque comportaba al órgano judicial que se retractase sobre lo que ya había resuelto (SSTC 182/2011, FJ 2; y 104/2011, FJ 4, in fine); iii) en el recurso de amparo la lesión constitucional se imputaba a la inicial actuación policial y la interposición del habeas corpus era el remedio jurisdiccional idóneo para reparar esta violación, por lo que el órgano judicial tuvo la oportunidad para reparar la violación denunciada. Abunda en ello, a su juicio, que el Juez ofreció una respuesta detallada a la denuncia de ilegalidad de la detención, por lo que acudir al incidente hubiera tenido un carácter reiterativo. La interposición del incidente de nulidad en estas circunstancias no otorgaba al recurrente ninguna “expectativa de prosperabilidad de su denuncia de violación ... solo se hubiera conseguido mantener abierta la vía judicial ordinaria, que estaba abocada a la desestimación de la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23 de marzo de 2014, la Sección Segunda del Tribunal Constitucional tuvo por interpuesto recurso de súplica por el Ministerio Fiscal y, de conformidad con el art. 50.3 LOTC, acordó dar traslado al recurrente por el plazo de tres días para que alegara lo que estimara pertinente. El recurrente, mediante escrito de 30 de marzo de 2015, se adhirió al recurso de súplica interpuesto por el Ministerio Fiscal, coincidiendo con éste en las razones de impugnación.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recurre en súplica la providencia dictada por esta misma Sección en fecha 16 de febrero de 2015, en la cual se acordó no admitir a trámite el presente recurso de amparo por no haber agotado el recurrente todos los medios de impugnación dentro de la vía judicial previa [art. 44.1 a) de la Ley Orgánica del Tribunal Constitucional: LOTC] frente al Auto de 12 de agosto de 2014. Según el Ministerio público, el recurso de reforma no debía ser considerado exigible pues al ser manifiestamente improcedente, existía el riesgo de incurrir la demanda de amparo en extemporaneidad. Y por otra parte, las “dudas razonables” sobre la procedencia del incidente de nulidad convierten en desproporcionada y excesivamente rigurosa la inadmisión en tanto que lo que se denunció fue la legalidad de la actuación administrativa y ya fue objeto de un control judicial inmediato, no siendo reprochable su no interposición al ser materialmente inútil porque comportaba que el órgano judicial se retractase.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Retomando lo expuesto en los antecedentes de esta resolución, debemos indicar que en el recurso de amparo, inadmitido por la resolución recurrida, se atribuye en primer lugar a la decisión de la policía denegando la consulta del atestado por el Abogado la vulneración del derecho a la asistencia letrada al detenido como garantía de la libertad (art. 17.3 y 17.1 CE), así como el derecho de defensa (art. 24.2 CE) y por otra parte al Juzgado de Primera Instancia e Instrucción núm. 2 de Parla la vulneración del derecho de habeas corpus por la inadmisión a limine contraria a reiterada y reciente doctrina jurisprudencial (art. 17.4 CE) y a los derechos contenidos en los arts. 17.1, 17.3, 24.1 y 24.2, que resultan aludidos genéricamente, por actuar contra legem, al obviar el efecto directo de la Directiva 2012/13/UE, de 22 de mayo, e inaplicar el artículo 7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el incidente de nulidad de actuaciones, a partir de la reforma introducida en el art. 241 de la Ley Orgánica del Poder Judicial (LOPJ) por la Ley Orgánica 6/2007, de 24 de mayo, es el instrumento idóneo para obtener ante la jurisdicción ordinaria la reparación de aquellas vulneraciones de los derechos fundamentales referidos en el art. 53.2 CE, que se entiendan cometidas en resolución judicial frente a la que la ley procesal no permita ningún recurso. Así, este precepto exige para la admisibilidad del incidente que la vulneración de que se trate no haya podido denunciarse antes de recaer resolución que ponga fin al proceso y que dicha resolución no sea susceptible de recurso ordinario ni extraordinario. En consecuencia, no será necesario que el recurrente reitere una queja a través de un incidente de nulidad que, por referirse a una vulneración ya denunciada con anterioridad, deviene manifiestamente improcedente a tenor del indicado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expuesto resulta que la determinación en cada caso del remedio legalmente posible y, por tanto, exigible a los efectos del debido agotamiento de la vía judicial previa dependerá de la concreta vulneración que el recurrente denuncie en amparo y a que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235/1994, de 20 de julio, FJ 1; 26/1995, de 6 de febrero. FJ 3; 124/1999. de 28 de junio, FJ 1; 205/1999, de 8 de noviembre, FJ 4, y 224/2007, de 22 de octubre, FJ 2) sin que sean viables las alteraciones introducidas con ulteriores alegaciones (SSTC 109/1997, de 2 de junio, FJ 1, y 39/1999, de 22 de marzo, FJ 2), dirigidas a completar y. en su caso, reforzar la fundamentación del recurso, mas no a ampliarlo o variarlo sustancialmente (STC 85/1999, de 10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ahora enjuiciado, el Ministerio Fiscal, dispensa la interposición del recurso de reforma pues pese a informar el Auto dicha posibilidad, era manifiestamente improcedente, generando riesgo de extemporaneidad de la demanda y por otra parte al imputarse las lesiones a la actuación policial y ser cuestionada la misma mediante la solicitud de habeas corpus, el Ministerio público considera correctamente agotada la vía judicial previa al amparo sin necesidad de interponer el incidente de nulidad de actuaciones, avalando dicha tesis las dudas razonables sobre la viabilidad del incidente y las escasas expectativas de éxito que el demandante podía albergar con su interposición.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Sección, por el contrario, entendió —sin que de su nueva lectura se extraiga ahora otra conclusión distinta— que, pese a que en la demanda se refería a vulneraciones del derecho de defensa, asistencia letrada que se imputaban a la actuación policial, el recurrente atribuía al Auto impugnado lesiones autónomas por no tramitar el procedimiento de habeas corpus y por resolver razonando contra la primacía del derecho comunitario al inaplicar la Directiva invocada, quejas éstas de carácter autónomo con relación a las apreciadas por la actuación policial y de las que dependía su eventual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Llegados a este punto, puesto que frente al indicado Auto se concedía recurso de reforma, el recurrente bien pudo interponerlo sin que el uso del mismo pudiera generarle — como afirma el Ministerio Fiscal—, riesgo alguno de extemporaneidad de la futura demanda de amparo por recurso manifiestamente improcedente. En tal sentido, hemos afirmado que “hay que considerar en todo caso excusable el error en que pueda incurrir el litigante a la hora de considerar agotada la vía judicial cuando haya sido inducido a tal error por una instrucción o información errónea acerca de los recursos facilitada por el órgano judicial, pues si éste ha ofrecido indicaciones equivocadas sobre los recursos utilizables, el interesado, aun contando con asistencia letrada, podría entender, dada la autoridad inherente a la decisión judicial, que tales indicaciones son ciertas y obrar en consecuencia. De este modo, no es razonable exigir al interesado que contravenga o salve por sí mismo la instrucción o información de recursos consignada en la resolución judicial, aunque ésta pueda resultar o resulte errónea, dada la delicada disyuntiva en la que en caso contrario se le sitúa como consecuencia de la necesidad de cumplir simultáneamente las dos exigencias de agotar la vía judicial previa [arts. 43.2 y 44.1 a) LOTC] y de interponer el recurso de amparo dentro de los treinta días siguientes a la notificación de la resolución recaída en el proceso judicial (arts. 43.2 y 44.2 LOTC)” (por todas, STC 55/2012, de 29 de marzo, FJ 2 que cita las SSTC 210/2009, de 26 de noviembre. FJ 2; y STC 241/2006, de 20 de julio, FJ 3, dictada por el Pleno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de no haberse seguido la indicación sobre la viabilidad del recurso de reforma, debió promover el incidente de nulidad de actuaciones, incurriendo en el óbice del art. 44.1 a) LOTC por no haberlo realizado. La falta de agotamiento alcanza también a la queja relativa a la no entrega del atestado por los agentes de policía, pues de haber interpuesto aquel incidente de nulidad y de ser estimado por el Juez, éste podría haber reparado la eventual vulneración derivada de la inadmisión a limine del procedimiento de habeas corpus y además atendidas las razones expuestas en el escrito de interposición del incidente, así como las que pudiera haber efectuado el Ministerio Fiscal sobre la aplicabilidad de la mencionada Directiva, reparar en su caso, la queja que a la actuación policial se le atribuía, lo que no ha sucedido debido a la omisión del propio recurrente, frustrando la subsidiariedad del recurso de amparo (AATC 7/2009, de 12 de enero, 177/2009, de 1 de junio, 293/2014 de 10 de diciembre, y STC 104/2011, de 20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conclusión, resulta avalada por el propio proceder en la jurisdicción ordinaria del Ministerio Fiscal en las demandas de amparo que frente a la inadmisión ad limine de solicitudes de habeas corpus —como bien reconoce el Ministerio Fiscal—, sin que a ello puede oponerse que en las SSTC 32/2014 y 195/2014, se hubiera otorgado el amparo sin examinar la concurrencia del mencionado óbice procesal, pues ello sería tanto como considerar el silencio fuente de doctrina constitucional. Tampoco puede admitirse que la escasa expectativa de prosperabilidad del incidente de nulidad pueda justificar su no interposición, pues de aceptarse dicho argumento, la subsidiaridad del recurso de amparo quedaría al albur de juicios subjetivos e hipotéticos diluyendo el incidente de nulidad como instrumento idóneo para obtener ante la jurisdicción ordinaria la reparación de las vulneraciones de los derechos fundamentales, convirtiendo en inexigible, por la misma razón, la interposición de cualesquiera recursos no devolutivos.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recurso de súplica debe ser así desestimado, tanto más cuanto si, siguiendo el razonamiento del Ministerio Fiscal, prescindiéramos de la lesión que se atribuye al Auto de inadmisión del procedimiento de habeas corpus y consideráramos que lo único impugnado era la actuación de la policía por cercenar el derecho de defensa y asistencia letrada al no facilitar el atestado al Abogado que asistía al recurrente incumpliendo el art. 7 de la Directiva 2012/13/UE.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caso, ni se aprecia la existencia de indefensión material por el retraso en la entrega del atestado, ni la misma es justificada por el recurrente, máxime cuando en el propio Auto se le reconoce que tiene derecho a que se le entregue el atestado “a más tardar antes del momento en que una autoridad judicial competente deba decidir sobre la legalidad de la detención o privación de libertad” y que el recurrente tiene el derecho a guardar silencio. No está de más recordar que conforme a nuestra doctrina, para que “una irregularidad procesal o infracción de las normas de procedimiento alcance relevancia constitucional debe producir un perjuicio real y efectivo en las posibilidades de defensa de quien las denuncie” (por todas, STC 130/2002, de 3 de junio,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16 de febrero de 2015 en el recurso de amparo núm. 6133-2014.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abril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