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4521-2009, promovido por don Hermenegildo Abaga Maye Obomo, representado por la Procuradora de los Tribunales doña María Elvira Encinas Lorente y asistido por la Letrada doña Carmen Touza Vázquez, contra el Auto de 13 de abril de 2009 del Juzgado de lo Contencioso-Administrativo núm. 2 de Madrid, dictado en el procedimiento abreviado núm. 1276-2008. Ha comparecido el Abogado del Estado.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mayo de 2009, por la Letrada doña Carmen Touza Vázquez, en nombre de don Hermenegildo Abaga Maye Obomo, se interpuso recurso de amparo contra la resolución antes citada, solicitando en el mismo escrito se le designara procurador del turno de oficio que asumiera su representación. Esta designación se efectuó en la persona de la Procuradora de los Tribunales doña María Elvira Encinas Lorente, que ratificó dicho recurso de amparo en fecha 22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noviembre de 2008 el demandante de amparo interpuso recurso contencioso-administrativo contra la resolución de 16 de septiembre de 2008 de la Delegación del Gobierno en Madrid por la que se decretaba su expulsión del territorio nacional, con prohibición de entrada en España por un período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7 de enero de 2009, el Juzgado Contencioso-Administrativo núm. 2 de Madrid dictó providencia en la que tuvo por formulado el recurso y ordenó la citación de las partes para la celebración de vista el día 20 de noviembre de 2012, a las 10:40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presentó, en fecha 27 de marzo de 2009, un escrito en el que puso de manifiesto que el señalamiento efectuado suponía la vulneración de su derecho a un proceso público y sin dilaciones indebidas (art. 24.2 CE). En dicho escrito, el actor interesó que se anticipara la celebración de la vista aprovechando “una de las vacantes que … como consecuencia de los desistimientos, allanamientos, transacciones extrajudiciales, suspensiones de vistas, … se producen en los procedimientos tramitados ante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referido escrito se le dio trámite como recurso de súplica, procediendo el Juzgado mediante auto de 13 de abril de 2009 a su desestimación. En el fundamento jurídico único de la resolución, el órgano judicial argumentó que la fecha fijada para la celebración de la vista se ajustaba rigurosamente “al calendario de señalamientos de este Juzgado, correspondiéndole dicha fecha por el orden de presentación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22 de julio de 2010 el órgano judicial acordó la suspensión del señalamiento inicialmente efectuado, anticipándose la celebración de la vista para el 14 de junio de 2011, a las 10:15 horas de la mañana.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junio de 2011 se celebró la vista, dictándose Sentencia desestimatoria en fecha 22 de junio de 2011. Esta resolución fue confirmada en apelación por la Sentencia de 12 de julio de 2012 de la Sala de lo Contencioso-Administrativo del Tribunal Superior de Justicia de Madrid, recaída en el recurso núm. 277-2011.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considera que el señalamiento de vista con más de tres años de demora desde la fecha de presentación de la demanda vulnera su derecho a un proceso público sin dilaciones indebidas (art. 24.2 CE). A juicio del actor: (i) el recurso entablado carecía de especial complejidad, ya que se trataba de un recurso contencioso-administrativo interpuesto frente a una decisión de expulsión; (ii) el señalamiento efectuado superaba los márgenes ordinarios de duración de los litigios de ese tipo, ya que se trataba de un procedimiento abreviado en el que no debía practicarse más prueba que la estrictamente documental; (iii) la demora en la celebración de la vista le generaba un grave perjuicio, pues la pendencia del recurso contencioso-administrativo entrañaba la posibilidad de que la resolución de expulsión fuera ejecutada, no pudiendo el demandante, en todo caso, obtener autorización de trabajo ni regularizar su situación en España hasta que el recurso fuera resuelto, y (iv) su conducta procesal fue correcta, sin que las dilaciones producidas le fueran en modo alguno imputables.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varias Sentencias de este Tribunal, el actor señala, asimismo, que el elevado número de asuntos que ha resolver el órgano judicial no legitima el retraso en la tramitación del proceso. Por ello, aun cuando la causa del retraso pudiera considerarse estructural, la vulneración del derecho fundamental seguiría existiendo.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admitió a trámite la demanda por providencia de 22 de enero de 2015, resolviendo al mismo tiempo requerir al Juzgado de lo Contencioso-Administrativo núm. 2 de Madrid para que remitiera testimonio de las actuaciones del procedimiento abreviado núm. 1276-2008, con la orden de que se emplazara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Segunda de 3 de marzo de 2015, a tenor de lo dispuesto en el art. 52.1 de la Ley Orgánica del Tribunal Constitucional, se tuvo por personado y parte en el procedimiento al Abogado del Estado, en la representación que ostenta y, asimismo, se acordó dar vista de las actuaciones recibidas a la parte recurrente, al Abogado del Estado y al Ministerio Fiscal por un plazo común de veinte días para que, dentro de dicho término, presentaran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27 de marzo de 2015 tuvo entrada en este Tribunal el escrito de alegaciones del Abogado del Estado, en el que solicita que se declare que el recurso de amparo ha perdido sobrevenidamente su objeto o que se acuerde, en su defecto, su inadmisión por falta de justificación de la especial trascendencia constitucional. Subsidiariamente, el Abogado del Estado interesa la desestimación del recurso al entender que el derecho fundamental a un proceso sin dilaciones indebidas no ha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el Abogado del Estado que el recurso de amparo ha perdido objeto, “ya que el contenido del auto cuya nulidad se pide sobre la base de la lesión producida por el señalamiento de vista el 20 de noviembre de 2012 fue dejado sin efecto, por lo que ya no existe el supuesto de hecho sobre el que se basa la lesión”. Debe por ello apreciarse, en su opinión, que el recurso carece sobrevenidamente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representante del Estado estima que el recurrente no ha justificado suficientemente la especial trascendencia constitucional del recurso. En su opinión, procede la inadmisión del amparo “al no estar debidamente alegada y probada la razón de la especial trascendencia constitucional que se invoca, al existir una doctrina consolidada del Tribunal sobre esta materia, sobre la que el presente caso no añade ninguna circunstancia novedosa”.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Abogado del Estado interesa la desestimación del amparo, ya que, en su opinión, las demoras producidas en el caso planteado obedecen a “deficiencias estructurales”, concepto en el que el Tribunal debería, a su juicio, profundizar. Así, el Abogado del Estado entiende que la estimación del amparo debería reservarse exclusivamente para aquellos casos en los que las deficiencias estructurales pueden ser “corregidas o eliminadas a corto plazo mediante un uso demostrablemente más racional y eficiente de los recursos materiales y humanos ya disponibles”. En cambio, deberían desestimarse los amparos solicitados cuando las deficiencias estructurales resultan de la mera comparación de la “realidad empírica de un sistema judicial con una especie de ideal de funcionamiento”, difícilmente alcanzable en un contexto de “aguda y profunda crisis financiera”. A juicio del Abogado del Estado este último sería el caso del recurso de amparo deducido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abril de 2015 tuvo entrada el escrito de alegaciones del Ministerio Fiscal, en el que interesa que se otorgue el amparo solicitado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advertir el Fiscal que el recurso planteado no ha perdido su objeto. Con cita de la STC 99/2014, de 23 de junio, FJ 2, pone de relieve que el hecho de que la vista en cuestión se haya celebrado e incluso se haya dictado también Sentencia sobre el fondo del asunto no implica la desaparición de la posible lesión del derecho y, en consecuencia, no puede ser óbice para apreciar la eventual vulneración existente, que debe relacionarse con el momento de la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habría privado de objeto al recurso la anticipación de la celebración de la vista al 14 de junio de 2011, ya que el nuevo señalamiento efectuado por el órgano judicial en la providencia de 22 de julio de 2010 no remediaba del todo, a juicio del Fiscal, la indebida demora en la resolución del litigio. Recuerda, en este punto, el Ministerio Fiscal que la STC 54/2014, de 10 de abril, FJ 3, ya aclaró que la anticipación del señalamiento de la vista por el órgano judicial no produce la pérdida sobrevenida de objeto si “el período transcurrido desde la interposición del recurso contencioso-administrativo hasta la celebración de la vista sigue siendo motivo suficiente para fundamentar la queja planteada”. En la medida en que la celebración de la vista seguía dilatándose casi dos años y medio desde la fecha de admisión de la demanda, la decisión adoptada por el órgano judicial en la providencia de 22 de julio de 2010 no privó de objeto al recurso de amparo previamente presentado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núcleo de la cuestión constitucional planteada, entiende el Fiscal, luego de resumir la doctrina contenida en las SSTC 99/2014, de 23 de junio; 89/2014, de 9 de junio, y 54/2014, de 10 de abril, que el señalamiento finalmente efectuado por el Juzgado para el 14 de junio de 2011 representa una demora de casi dos años y medio desde la fecha de interposición del recurso, análoga a los plazos para la celebración de una vista considerados excesivos por las Sentencias antes citadas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con base en ello, conforme ha dispuesto este Tribunal en la reciente STC 54/2014, de 10 de abril, que no altera el carácter no justificado del retraso y tampoco impide a los ciudadanos reaccionar frente al mismo que la dilación se deba a un problema de carácter estructural y no a la pasividad del órgano judicial, ni a su silencio ante peticiones del recurrente o a una ausencia de actividad procesal durante largos periodos de tiempo. Más aún, prosigue, si se tiene en cuenta que el asunto planteado no revestía una especial complejidad, que el retraso no era imputable a la conducta del demandante, que éste denunció las dilaciones mediante escrito de 27 de marzo de 2009, y que el fondo del asunto afectaba a un importante interés, pues de la resolución del litigio “dependía su continuidad o no en España”, ya que era una decisión de expulsión la que había sido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considera que, dadas las circunstancias del presente supuesto, se ha producido la vulneración del derecho del demandante a un proceso sin dilaciones indebidas, interesando que el otorgamiento de un amparo tenga un alcance meramente declarativo, en la medida en que el procedimiento judicial ya ha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dejó transcurrir el plazo conferido sin formular alegaciones, de lo que dejó constancia la Secretaría de Justicia de la Sala Segunda mediante diligencia de 4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2015 se acordó para deliberación y fallo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acuerdo con lo expuesto en los antecedentes, la demanda de amparo se dirige contra el Auto del Juzgado de lo Contencioso-Administrativo núm. 2 de Madrid, de fecha 13 de abril de 2009, resolución que, a juicio del demandante, vulnera su derecho fundamental a un proceso sin dilaciones indebidas (art. 24.2 CE). En síntesis, el demandante afirma que el señalamiento de la vista del procedimiento abreviado núm. 1276-2008, efectuado inicialmente para el 20 de noviembre de 2012 ha sido excesivamente tardío teniendo en cuenta que el recurso fue presentado el 25 de noviembre de 2008. No habiendo acordado el Auto impugnado la celebración de la vista en un plazo razonable, entiende que resultó vulnerado el derecho fundamental anteriormente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que se declare la pérdida sobrevenida de objeto o, en su defecto, que se acuerde la inadmisión del presente recurso de amparo, dada la falta de justificación de la especial trascendencia constitucional. Con carácter subsidiario postula la desestimación del recurso, al no apreciar lesión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estimación del recurso y el consiguiente reconocimiento de la lesión del derecho a no sufrir dilaciones indebidas (art. 24.2 CE), sin que proceda emitir otros pronunciamientos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alegación del Abogado del Estado relativa a la pérdida sobrevenida de objeto, debe recordarse que tanto esta Sala, en la STC 99/2014, de 23 de junio, FJ 2, como antes aún el Pleno de este Tribunal, en la STC 54/2014, de 10 de abril, FJ 3, han señalado que aunque al tiempo de dictarse la Sentencia resolutoria del recurso de amparo la dilación indebida denunciada ya haya cesado, “no por ello debe apreciarse que haya quedado privado de objeto el proceso constitucional de amparo, pues no puede considerarse reparada aquélla mediante una actuación judicial tardía o demorada”. De lo contrario, añadía el Pleno del Tribunal, con cita de la STC 141/2010, de 21 de diciembre, FJ 2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 (SSTC 54/2014, de 10 de abril, FJ 3, y 58/2014,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tal y como pone de manifiesto el Ministerio Fiscal, la STC 54/2014, de 10 de abril, FJ 3, precisó que la anticipación del señalamiento de la vista no produce la pérdida sobrevenida de objeto cuando “el período transcurrido desde la interposición del recurso contencioso-administrativo hasta la celebración de la vista sigue siendo motivo suficiente para fundamentar la queja planteada”. Por esta razón, en la medida en que la vista señalada por la providencia de 22 de julio de 2010 para el 14 de junio de 2011 seguía suponiendo una importante demora de casi dos años y medio desde la fecha de admisión de la demanda, no puede considerarse que concurra un supuesto de pérdida sobrevenida de objeto postulada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y antes de entrar en la cuestión sustantiva, es necesario analizar el óbice procesal formulado por la representación del Estado, que considera que el demandante no ha justificado correctamente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contiene un apartado específico en el que el recurrente realiza un amplio esfuerzo argumental tendente a justificar la especial trascendencia del asunto. Dicha argumentación no se centra exclusivamente en la lesión del derecho fundamental y sus consecuencias, sino que tiende, como ocurriera en el caso de la STC 99/2014, de 23 de junio, a “poner de relieve la dimensión social de la problemática que suscita la tardía celebración de la vista en supuestos, como en el presente caso ocurre, en que ha sido acordada la expulsión del territorio nacional”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ocurría en el caso resuelto en la citada Sentencia, la especial trascendencia constitucional se deduce igualmente en la demanda de amparo del “contraste entre la resolución judicial impugnada y la doctrina que este Tribunal ha elaborado en relación con la incidencia de las deficiencias estructurales en relación con las dilaciones indebidas, la cual aparece reflejada en algunas de las Sentencias que el demandante expresamente cita en la demanda” (FJ 3). Este contraste con la referida doctrina, puesto de manifiesto por el recurrente, podría llevar a este Tribunal a un proceso de reflexión interno dirigido a un posible cambio doctrinal (supuesto previsto en la letra b, fundamento jurídico 2, de la STC 155/2009, de 25 de junio). En consecuencia, con estos antecedentes, cabe concluir que se ha cumplimentado por la parte recurrente el razonable esfuerzo argumental que le compete en orden a enlazar las infracciones constitucionales denunciadas con alguno de los criterios establecidos en el art. 50.1 b) de la Ley Orgánica del Tribunal Constitucional, precepto según el cual la especial trascendencia constitucional del recurso se apreciará atendiendo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del óbice, procede abordar el fondo de la queja planteada, siguiendo para ello las pautas establecidas en la aludida STC 54/2014, de 10 de abril, FJ 4. Como recordamos en dicha resolución, el juicio sobre el contenido concreto de las dilaciones, y sobre si son o no indebidas, debe ser el resultado de la aplicación a las circunstancias específicas de cada caso de los criterios objetivos que a lo largo de nuestra jurisprudencia se han ido precisando. Dichos criterios son: (i) la complejidad del litigio, (ii) los márgenes ordinarios de duración de los litigios del mismo tipo, (iii) el interés que arriesga el demandante de amparo, (iv) su conducta procesal, y (v)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anterior doctrina al caso, podemos afirmar que las dilaciones han sido indebidas,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asunto planteado, como se dice en la demanda, no revestía una especial complejidad, al tratarse de un recurso interpuesto contra una decisión administrativa de expulsión. Teniendo en cuenta la pretensión deducida ante el órgano judicial —que ni siquiera éste califica como particularmente compleja— no parece razonable que su señalamiento y resolución se haya diferido, con evidente perjuicio del recurrente, a una fecha tan lejana, casi dos años y medio después de la interposición del recurso contencioso-administrativo. Ello ha supuesto para el demandante una larga espera antes de poder saber si podría permanecer lícitamente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márgenes ordinarios de duración de los litigios, este Tribunal ha tenido ocasión de pronunciarse, en diferentes ocasiones, sobre la vulneración del derecho a un proceso sin dilaciones indebidas, con motivo del señalamiento de la vista. Concretamente, la STC 93/2008 contempló un supuesto en que dicho señalamiento se fijó para el 23 de octubre de 2008, mientras que el recurso en sede judicial, contra una denegación de permiso de residencia y trabajo, había sido presentado el 6 de abril de 2006; en el caso enjuiciado en la STC 141/2010, de 21 de diciembre, la vista fue establecida para el 9 de marzo de 2010 y el recurso, contra un decreto de expulsión del territorio nacional, se interpuso el 30 de julio de 2008; en el supuesto analizado en la STC 142/2010, de 21 de diciembre, las fechas de la vista y de interposición del recurso, frente a una denegación de asilo, fueron el 15 de febrero de 2011 y 28 de julio de 2009; y, por último, para terminar con los ejemplos, en la STC 54/2014, de 10 de abril, la fecha del señalamiento y celebración de la vista fueron, respectivamente, el 27 de febrero de 2009 y 17 de mayo de 2011. Cabe advertir, por tanto,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interés que arriesga el recurrente en el pleito es el de obtener una resolución judicial que determine si era o no ajustada a Derecho una resolución de la Delegación del Gobierno en Madrid que afectaba necesariamente a un ámbito preferente de sus derechos e intereses legítimos, relacionado con la organización de su vida familiar y social, pues del sentido de la misma dependía su permanencia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Ha de excluirse que la conducta del demandante merezca reproche alguno, dado que, además de no haber propiciado el retraso en cuestión, ha venido denunciando ante el órgano judicial la concurrencia de las supuestas dilaciones, como pone de relieve singularmente el escrito de 27 de marzo de 2009 en el que el actor puso de manifiesto la vulneración del derecho fundamental y en el que solicitó expresamente que se anticipara la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reseñarse que el hecho de que la demora denunciada se deba a motivos estructurales, no imputables directamente al órgano judicial, no impide apreciar la vulneración del derecho del recurrente a un proceso sin dilaciones indebidas, pues esta situación no altera su naturaleza injustificada,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ya citada STC 54/2014, por referencia a la doctrina contenida en la STC 142/2010, de 21 de diciembre,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 Este es también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contra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se ha vulnerado el derecho a un proceso sin dilaciones indebidas del recurrente (art. 24.2 CE). No obstante, el otorgamiento del amparo debe limitarse a la declaración de la violación del derecho fundamental, toda vez que se deduce de las actuaciones recibidas en este Tribunal que el procedimiento en cuestión ya ha concluido, habiéndose celebrado la vista acordada por el Juzgado y habiendo recaído, incluso, Sentencia tanto en instancia como en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 don Hermenegildo Abaga Maye Obomo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