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ejecución de las penas privativas de libertad y las penas accesorias acordada por providencia de 27 de abril de 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11 de junio de 2014, don Juan Blas López Rodríguez, representado por el Procurador de los Tribunales don Antonio González Sánchez y asistido por el Letrado don Juan López Rueda, interpuso recurso de amparo contra el Auto dictado por la Sección Tercera de la Audiencia Provincial de Huelva, de 2 de mayo de 2014, en rollo de apelación núm. 199-2014 y contra el dictado por el Juzgado de lo Penal núm. 4 de Huelva, de 20 de diciembre de 2013, en ejecutoria núm. 445-2008. Consideraba que dichas resoluciones judiciales al denegar su solicitud de prescripción de la pena a la que había sido condenado, vulneraban su derecho a la tutela judicial efectiva, art. 24 CE, en relación con el art. 17 CE, y el principio de legalidad penal,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27 de marzo de 2007, el demandante de amparo fue condenado por el Juzgado de lo Penal núm. 4 de Huelva, como autor de un delito de atentado a agente de la autoridad y de un delito de lesiones con uso de instrumento peligroso, por hechos cometidos el 24 de junio de 2003, imponiéndosele penas de tres años y dos años de prisión, respectivamente. El fallo fue confirmado en apelación mediante Sentencia de 27 de junio de 2008 por la Audiencia Provincial de Huelva.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31 de julio de 2008, se dictó Auto por el que declaraba firme la condena, abriéndose con ella la ejecutoria núm. 445-2008. Desde ese momento, la ejecutoria cuenta con los siguientes hechos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 de octubre de 2008, habiendo informado el Fiscal desfavorablemente a la concesión de la suspensión ordinaria de la condena, se dicta Auto denegando la señalada suspensión y acordando el cumplimiento de las penas impuestas. Recurrida dicha decisión, el Juzgado dicta Auto desestimatorio de la reforma, si bien acuerda el examen forense del penado para valoración de la eventual aplicación del art. 87 del Código penal (CP). El 15 de octubre de 2009, habiendo informado el Fiscal en forma desfavorable también a la concesión de este beneficio del art. 87 CP, se dicta Auto denegatorio de la suspensión extraordinaria. Decisión confirmada por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25 de octubre de 2011, el recurrente solicita la suspensión de la ejecución de la pena, al estar “pendiente de presentar la solicitud de indulto”. Petición denegada por Auto de 23 de marzo de 2011; decisión confirmada por la Audiencia Provincial. El 8 de marzo de 2013 se dicta providencia de orden de detención e ingreso en prisión del penado.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11 de marzo de 2013, el recurrente solicitó aplazamiento del ingreso en prisión, que le es denegado por providencia de esa misma fecha. El 11 de julio de 2013 se emite requisitoria para la detención e ingreso en prisión del penado. El 27 de septiembre de 2013, el Consejo de Ministros le deniega el indulto. El 2 de diciembre de 2013, se dicta Auto de rebeldía procesal; el 4 de diciembre de 2013 se deja sin efecto la declaración de rebeldía, al haberse hallado al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11 de diciembre de 2013, el recurrente solicita la prescripción de las penas a las que fue condenado. Petición denegada por los Autos ahora impugnados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impugnadas han vulnerado los derechos a la tutela judicial efectiva y a la libertad (arts. 24.1 y 17.1 CE), así como el principio de legalidad penal (art. 25.1 CE). Sostiene que el hecho de denegarle la prescripción de las penas impuestas “no supera el canon constitucional (de motivación) exigible, al ser manifiestamente incoherente con la norma que regula la prescripción de la pena”. Considera que las resoluciones impugnadas, al fundar la interrupción del plazo en que se han venido realizando actuaciones con contenido —y no de puro trámite— en orden a las sucesivas peticiones de suspensión de la condena por parte del reo, vienen a fijar causas de interrupción que no prevé el art. 134 CP, el cual sólo establece como tales la fecha de firmeza de la Sentencia y el quebrantamiento de la condena, si hubiere comenzado a cumplirse. Cita, en apoyo de su tesis, las SSTC 97/2010, 109/2013 y 192/2013.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de la Ley Orgánica del Tribunal Constitucional (LOTC), el recurrente solicita que se deje en suspenso la ejecución de la condena privativa de libertad, alegando que su cumplimiento podría ocasionarle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abril de 2015, la Sección Tercera de este Tribunal acordó la admisión a trámite de la demanda de amparo, así como, a tenor de lo establecido en el art. 51 LOTC, requerir atentamente, tanto a la Sección Tercera de la Audiencia Provincial de Huelva, como al Juzgado de lo Penal núm. 4 de Huelva, para que remitieran testimonio de las actuaciones y emplazase a quienes fueron parte en el procedimiento, a excepción del demandante de amparo, para que pudieran comparecer en el presente proceso de amparo. Asimismo, debido a la urgencia excepcional a que se refiere el art. 56.3 LOTC, toda vez que la ejecución de la pena produciría un perjuicio de imposible o muy difícil reparación que haría perder su finalidad al recurso de amparo, se acordó la suspensión cautelar de la ejecución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para la tramitación del incidente sobre suspensión y, de conformidad con lo previsto en el art. 56.4 LOTC, conceder un plazo común de tres días al Ministerio Fiscal y al recurrente en amparo, para que alegaran lo que estimasen pertinente en relación con la petición de suspensión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mediante escrito presentado el 8 de mayo de 2015, reitera su petición de que este Tribunal proceda a suspender el cumplimiento de la condena pendiente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11 de mayo de 2015, el Ministerio Fiscal considera que debe acordarse la suspensión de las penas privativas de libertad y sus accesorias.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extensa cita del ATC 19/2014, de 27 de enero, considera que, puesto que el recurrente ha sido condenado a penas privativas de libertad que en su conjunto suman cinco años y que los hechos objeto de debate acaecieron en 2003, la suspensión de la pena no acarrearía una perturbación grave de los intereses generales ni de los derechos fundamentales de la víctima.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disponerse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 se deriva, como regla general, que la admisión del amparo no conlleva la automática suspensión de la ejecución de los actos recurridos, ni siquiera en el supuesto expresamente previsto de la pérdida de finalidad del amparo, dado que la suspensión se condiciona a la no producción de perturbación grave de intereses constitucionalmente protegidos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ha quedado expuesto, el recurrente en amparo impugna el Auto dictado por la Sección Tercera de la Audiencia Provincial de Huelva, de 2 de mayo de 2014, en rollo de apelación núm. 199-2014 y el dictado por el Juzgado de lo Penal núm. 4 de Huelva, de 20 de diciembre de 2013, en ejecutoria núm. 445-2008. Consideraba que dichas resoluciones judiciales al denegar su solicitud de prescripción de la pena a la que había sido condenado, vulneran su derecho a la tutela judicial efectiva, art. 24 CE, en relación con el art. 17 CE, y el principio de legalidad penal,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como se ha recordado, por todos, en el ATC 19/2014, de 27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ATC 19/2014, de 27 de enero, recordábamos que “en relación con la suspensión de la ejecución de las penas privativas de libertad, este Tribunal ha asumido, como criterio de ponderación prioritario, el relativo a la gravedad de la pena, de manera que la directriz principal a tener en cuenta es si la pena se sitúa por encima o debajo del umbral de los cinco años (AATC 16/2009, de 26 de enero; 18/2011, de 28 de febrero, FJ 2, y 61/2013, de 27 de febrero; FJ 2), puesto que ésa es la frontera establecida por el legislador para diferenciar las penas graves de las menos graves, conforme a lo dispuesto en el art. 33 del Código penal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en aplicación de la jurisprudencia citada y a la vista de las circunstancias concretas del presente caso, procede, de acuerdo a lo manifestado por el Ministerio Fiscal en sus alegaciones, mantener la suspensión de la ejecución de la penas privativas de libertad y sus accesorias, acordada por este Tribunal en la providencia de 27 de abril de 2015. En efecto, la duración de las penas privativas de libertad a la que ha sido condenado el recurrente (tres años de prisión por un delito de atentado a agente de la autoridad y dos años de prisión por un delito de lesiones) están dentro de los márgenes que este Tribunal ha considerado susceptible de ser suspendidas; además, como acertadamente ha destacado el Ministerio Fiscal, los hechos objeto de enjuiciamiento acaecieron en junio de 2003, por lo que la suspensión de la ejecución de las penas privativas de libertad a las que fue condenado el demandante de amparo no ocasionan una perturbación grave a los intereses generales.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ejecución de las penas privativas de libertad y las penas accesorias acordada por providencia de 27 de abril de 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