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546-2010, promovida por la Sala de lo Contencioso-Administrativo del Tribunal Supremo en relación con el segundo párrafo del apartado 1 del art. 5 de la Ley 25/1994, de 12 de julio, por la que se incorpora al ordenamiento jurídico español la Directiva 89/552/CEE, sobre la coordinación de disposiciones legales, reglamentarias y administrativas de los Estados miembros relativas al ejercicio de actividades de radiodifusión televisiva. Han intervenido y formulado alegaciones el Abogado del Estado, el Fiscal General del Estado y la Entidad de Gestión de Derechos de los Productores Audiovisuales.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enero de 2010 tuvo entrada en el Registro General de este Tribunal escrito de la Sala de lo Contencioso-Administrativo del Tribunal Supremo al que se acompaña, junto con el testimonio del recurso contencioso-administrativo núm. 104-2004, interpuesto contra el Real Decreto 1652/2004, de 9 de julio, por el que se aprueba el Reglamento que regula la inversión obligatoria para la financiación anticipada de largometrajes y cortometrajes cinematográficos y películas para la televisión, europeos y españoles, el Auto de 9 de diciembre de 2009 por el que se acuerda plantear cuestión de inconstitucionalidad en relación con el segundo párrafo del apartado 1 del art. 5 de la Ley 25/1994, de 12 de julio, por la que se incorpora al ordenamiento jurídico español la Directiva 89/552/CEE, sobre la coordinación de disposiciones legales, reglamentarias y administrativas de los Estados miembros relativas al ejercicio de actividades de radiodifusión televisiva.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dice, en su redacción aplicable al caso, que procede de la disposición adicional segunda de la Ley 15/2001 de 9 de julio, de fomento y promoción de la cinematografía y el sector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operadores de televisión que tengan la responsabilidad editorial de canales de televisión en cuya programación se incluyan largometrajes cinematográficos de producción actual, es decir, con una antigüedad menor de siete años desde su fecha de producción, deberán destinar, como mínimo, cada año, el 5 por 100 de la cifra total de ingresos devengados durante el ejercicio anterior, conforme a su cuenta de explotación, a la financiación anticipada de la producción de largometrajes y cortometrajes cinematográficos y películas para televisión europeos, incluidos los supuestos contemplados en el artículo 5.1 de la Ley de fomento y promoción de la cinematografía y del sector audiovisual. El 60 por 100 de esta financiación deberá destinarse a producciones cuya lengua original sea cualquiera de las oficiales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se entenderá por películas para televisión las obras audiovisuales de características similares a los largometrajes cinematográficos, es decir, obras unitarias de duración superior a sesenta minutos con desenlace final, con la singularidad de que su explotación comercial no incluye la exhibición en salas de cine; y por ingresos de explotación, los derivados de la programación y explotación del canal o canales de televisión que dan origen a la obligación, reflejados en sus cuentas de explotación auditadas.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previa consulta a todos los sectores interesados, podrá establecer reglamentariamente las duraciones exigibles para considerar una obra audiovisual como película para televisión.”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interesa destacar a los efectos de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Unión de Televisiones Comerciales Asociadas presentó ante la Sala Tercera del Tribunal Supremo recurso contencioso-administrativo contra el Real Decreto 1652/2004, de 9 de julio, por el que se aprueba el Reglamento que regula la inversión obligatoria para la financiación anticipada de largometrajes y cortometrajes cinematográficos y películas para televisión, europeos y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demanda, la parte actora cuestionaba la compatibilidad de la inversión obligatoria desarrollada en el citado Real Decreto, y que tiene su amparo legal en el ya citado art. 5.1, párrafo segundo, de la Ley 25/1994, con el derecho comunitario y con los arts. 14, 20, 31.3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Dicho recurso fue turnado a la Sección Tercera de la Sala de lo Contencioso-Administrativo del Tribunal Supremo, de conformidad con las normas de reparto.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tramitado y concluso el procedimiento, por providencia de 23 de enero de 2007, la Sección Tercera de la Sala de lo Contencioso-Administrativo del Tribunal Supremo acordó suspender el señalamiento para la votación y fallo del recurso previsto para ese mismo día 23 de enero de 2007 y dar audiencia a las partes personadas y al Ministerio Fiscal para que en el plazo de quince días se pronunciasen (i) sobre el planteamiento de la cuestión prejudicial ante el entonces denominado Tribunal de Justicia de las Comunidades Europeas y (ii) sobre el planteamiento de la cuestión de inconstitucionalidad ante este Tribunal Constitucional por la posible contradicción del art. 5.1 de la Ley 25/1994, en la redacción dada por la disposición adicional segunda de la Ley 15/2001, con los arts. 14 y 31.3, en relación con el art. 38, todos ellos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Cumplimentado el referido trámite por las partes personadas, la Sección Tercera de la Sala de lo Contencioso-Administrativo del Tribunal Supremo dictó Auto de 18 de abril de 2007 en el que acordó suspender el procedimiento principal y, de conformidad con lo dispuesto en el art. 234 del Tratado CE, plantear al Tribunal de Justicia las siguientes cuestiones prejudiciales: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3 de la Directiva 89/552/CEE del Consejo, sobre la coordinación de disposiciones legales, reglamentarias y administrativas de los Estados miembros relativas al ejercicio de la actividad de radiodifusión televisiva, en su versión modificada por la Directiva 97/36 / CE, del Parlamento Europeo y del Consejo, de 30 de junio de 1997, ¿permite a los Estados miembros imponer a los operadores de televisión la obligación de destinar un porcentaje de sus ingresos de explotación para la financiación anticipada de películas cinematográficas y para televisión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caso de que la respuesta a la cuestión precedente fuera afirmativa, ¿resulta conforme con aquella Directiva y con el artículo 12 del Tratado CE, puesto en relación con las demás disposiciones singulares a las que éste se refiere, una norma nacional que, además de incluir la obligación de financiación anticipada ya expuesta, reserva el 60 por ciento de dicha financiación obligatoria a obras en lengua original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obligación impuesta por una norma nacional a los operadores de televisión de que destinen un porcentaje de sus ingresos de explotación para la financiación anticipada de películas cinematográficas, de cuya cuantía un 60 por ciento ha de destinarse específicamente a obras en lengua original española mayoritariamente producidas por la industria cinematográfica española, ¿constituye una ayuda del Estado en beneficio de dicha industria, en el sentido del artículo 87 del Tratado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citadas cuestiones prejudiciales fueron resueltas por el Tribunal de Justicia de las Comunidades Europeas en su Sentencia de 5 de marzo de 2009 (asunto C-222/07), que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Directiva 89/552/CEE del Consejo, de 3 de octubre de 1989, sobre la coordinación de determinadas disposiciones legales, reglamentarias y administrativas de los Estados miembros relativas al ejercicio de actividades de radiodifusión televisiva, modificada por la Directiva 97/36/CE del Parlamento Europeo y del Consejo, de 30 de junio de 1997, y, más concretamente, su artículo 3 y el artículo 12 CE deben interpretarse en el sentido de que no se oponen a una medida adoptada por un Estado miembro, como la controvertida en el procedimiento principal, que obliga a los operadores de televisión a destinar el 5 por 100 de sus ingresos de explotación a la financiación anticipada de películas cinematográficas y de televisión europeas y, más concretamente, el 60 por 100 de dicho 5 por 100 a obras cuya lengua original sea cualquiera de las oficiales de dicho Estado miembro.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artículo 87 CE debe interpretarse en el sentido de que una medida adoptada por un Estado miembro, como la controvertida en el procedimiento principal, que obliga a los operadores de televisión a destinar el 5 por 100 de sus ingresos de explotación a la financiación anticipada de películas cinematográficas y de televisión europeas y, más concretamente, el 60 por 100 de dicho 5 por 100 a obras cuya lengua original sea cualquiera de las lenguas oficiales de este Estado miembro no constituye una ayuda del Estado en beneficio de la industria cinematográfica de ese mismo Estado miembro.”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recibida copia de la referida Sentencia del Tribunal de Justicia de las Comunidades Europeas, la Sección Tercera de la Sala de lo Contencioso-Administrativo del Tribunal Supremo dictó providencia de 25 de marzo de 2009 alzando la suspensión en su día acordada y dando nuevo traslado a las partes personadas por plazo de cinco días para que éstas pudieran alegar lo que a su derecho conviniera sobre la incidencia de la misma en el recurso contencioso-administrativo tramitado ante ella y pendiente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Tras la presentación de las alegaciones por las partes personadas, la Sección dictó Auto de 9 de diciembre de 2009 planteando ante este Tribunal Constitucional cuestión de inconstitucionalidad en relación con el art. 5.1, párrafo segundo, de la Ley 25/1994, en su versión modificada por las Leyes 22/1999, de 7 de junio, y 15/2001, de 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comienza señalando que el Real Decreto 1652/2004, objeto del recurso contencioso-administrativo interpuesto ante la Sala Tercera del Tribunal Supremo, no hace sino concretar ciertos extremos de la inversión obligatoria impuesta a ciertos operadores de televisión en el art. 5.1, segundo párrafo, de la Ley 25/1994, de modo que si este precepto legal fuera declarado inconstitucional, el reglamento impugnado se vería desprovisto de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estas bases, recuerda la doctrina de este Tribunal sobre la libertad de empresa reconocida en el art. 38 CE contenida en la STC 112/2006, de 5 de abril, en concreto la “libertad de inversión” que junto con las libertades de contratación y de organización fue considerada en aquella Sentencia una “vertiente imprescindible” de la indicada libertad de empresa. Ciertamente, ello no excluye, reconoce el órgano promotor, que esa garantía no pueda ser sometida a restricciones, pero siempre que esas restricciones sean “proporcionadas, de modo que, por adecuadas, contribuyan a la consecución del fin constitucionalmente legítimo al que propenden y por indispensables hayan de ser inevitablemente preferidas a otras que pudieran suponer, para la esfera de libertad pública protegida, un sacrificio menor” (misma STC 112/2006,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juicio de la Sección la inversión obligatoria prevista en el art. 5.1, párrafo segundo, de la Ley 25/1994, no supera el indicado canon de proporcionalidad. En primer lugar, porque se impone sobre una parte de sus “ingresos”, no de sus beneficios. En segundo lugar, porque no se corresponde con el objeto propio de su actividad, la difusión televisiva, sino que se destina a un sector económico diferente: la producción cinematográfica. Y en tercer lugar, porque para alcanzar esa finalidad, que la Sección considera “legítima”, los poderes públicos tienen en su mano otras potestades menos invasivas como la potestad tributaria y la subvencional. A través de la primera, pueden “detraer de los beneficios empresariales las cantidades que consideren oportunas” y asignarlas equitativamente al citado objetivo conforme al art. 31 CE, mediante “un marco tributario que contribuya a propiciar la inversión en determinados sectores, adoptando normas fiscales de muy amplio espectro (bonificaciones, exenciones, régimen de amortizaciones, deducciones, etcétera) con esa misma y legítima finalidad”. Y por medio de la segunda, el Estado podría incentivar determinadas inversiones empresariales sin más límite que respetar la prohibición de “ayudas de Estado” y las normas de competencia que resultan de los tratados comunitarios, pues el Tribunal de Justicia ya descartó en la Sentencia de 5 de marzo de 2009 que la inversión obligatoria aquí cuestionada fuera una ayuda de Estado (apartados 41 a 47). “Lo que, a juicio de esta Sala, no puede sin embargo el legislador, salvo que esté fundado en razones imperiosas de interés general, es imponer por sí mismo el destino forzoso de las inversiones empresariales. En principio, la decisión sobre la inversión de los recursos (privados) de las empresas corresponde a éstas, sin perjuicio de que parte de aquéllos sean transferidos coactivamente, por la vía de los tributos, al sector público y se conviertan de este modo en ‘recursos públicos’ de los que el Estado puede, obviamente, disponer”.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Auto afirmando que esa inversión obligatoria no viene tampoco impuesta por la Directiva 89/552/CEE, del Consejo, de 3 de octubre de 1989, objeto de trasposición en la Ley 25/1994. En el apartado 17 de su Sentencia, el Tribunal de Justicia ya declaró que los arts. 4 y 5 de aquella Directiva “no se refieren a dicho supuesto”. La Directiva, pues, no ofrece tampoco base a la citada obligación impuesta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tampoco deriva del régimen concesional bajo el que actúan los operadores de televisión, pues, por un lado, la obligación se impone al margen de las disposiciones que regulan la gestión directa o indirecta de los servicios públicos, y, por otro, ni siquiera se imponen a todos los concesionarios del servicio, esto es, a todos los operadores televisivos, sino solo a algunos de ellos. La imposición de esa inversión forzosa es pues ajena a las razones que determinaron la opción legislativa por el servicio público televisivo.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reconoce que el fomento de la creación cinematográfica, cuya dimensión cultural no puede desconocerse, es un objetivo legítimo. Pero la concreta medida establecida para la consecución de ese objetivo puede no superar el canon de proporcionalidad impuesto por la doctrina de este Tribunal, ya que la consecución ya viene instrumentada a través de numerosas medidas legislativas y reglamentarias, en particular ayudas públicas a la producción, distribución y proyección cinematográfica que conformen un “marco de financiación privilegiado” (garantía del Instituto de la Cinematografía y de las Artes Audiovisuales, créditos a tipos inferiores a los de mercado, ayudas públicas directas a la producción cinematográfica) así como estímulos a la proyección de películas comunitarias en las salas de proyección y los propios mecanismos de protección derivados de la Directiva 89/552/CEE, como reservar determinados tiempos de difusión y emisión a obras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que no existe una “razón imperiosa de interés general” que justifique la inversión forzosa prevista en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cuenta con un Voto particular suscrito por uno de los cinco Magistrados que firman el Auto en el que se razona que el fomento de la industria cinematográfica europea constituye una razón imperiosa de interés general que legitima esa medida restrictiva de la libertad de empresa. Considera además que es una medida proporcionada, en cuanto que no excede del 5 por 100 de los ingresos de explotación y no va más allá de lo necesario para alcanzar el objetivo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abril de 2010, el Pleno del Tribunal, a propuesta de la Sección Cuarta, acordó admitir a trámite la cuestión planteada por la Sección Tercera de la Sala de lo Contencioso-Administrativo del Tribunal Supremo en relación con el art. 5.1 de la Ley 25/1994, de 12 de julio, por la que se incorpora al ordenamiento jurídico español la Directiva 89/552/CEE, sobre la coordinación de disposiciones legales, reglamentarias y administrativas de los Estados miembros relativas al ejercicio de actividades de radiodifusión televisiva. El Pleno acordó también, conforme al artículo 10.1 c) de la Ley Orgánica del Tribunal Constitucional (LOTC), reservar para sí el conocimiento de la cuestión, así como dar traslado de las actuaciones recibidas (art. 37.3 LOTC) al Congreso de los Diputados y al Senado, al Gobierno y al Fiscal General del Estado, al objeto de que, en el improrrogable plazo de quince días, pudieran personarse en el proceso y formular las alegaciones que estimasen convenientes. Se acordó, asimismo, comunicar esta resolución al órgano judicial promotor de la cuestión, a fin de que el procedimiento del que la misma emana permaneciera suspendido hasta que este Tribunal resolviera definitivamente (art. 35.3 LOTC). Y se ordenó, por último, la publicación de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28 de abril de 2010 tuvo entrada en este Tribunal copia del acuerdo de la Mesa del Senado de 27 de abril anterior por el que se tiene por personada a la citada cámara en este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abril de 2010 tuvo entrada el acuerdo de la Mesa del Congreso de los Diputados de 27 de abril de 2010 en el que se tiene por personada a la citada cámara y se ofrece su colaboración a los efectos del artículo 88.1 LOTC, y se remite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abril de 2010, el Presidente de la Sección Tercera de la Sala de lo Contencioso-Administrativo del Tribunal Supremo firmó un escrito, que tuvo entrada en este Tribunal el 5 de mayo siguiente, acusando recibo de la comunicación emitida por este Tribunal el 14 de abril y comunicando que de conformidad con lo establecido en el art. 35.3 LOTC se procedía a suspender el curso del procedimiento hasta que por este Tribunal Constitucional se resuelva definitivamente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mayo de 2010 tuvo entrada en este Tribunal el escrito de alegaciones del Abogado del Estado, en el que solicita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aclarando que la derogación sobrevenida del precepto cuestionado por la Ley 7/2010, de 31 de marzo, general de la comunicación audiovisual, no ha hecho perder objeto al presente proceso constitucional, según jurisprudencia reiterada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 cuestión planteada, está de acuerdo en que la libertad de inversión es una vertiente imprescindible de la libertad de empresa garantizada en el art. 38 CE, tal y como ya señaló la STC 112/2006. Ahora bien, y como también allí se señaló, no siendo los derechos que la Constitución reconoce garantías absolutas, son admisibles las restricciones sobre esa libertad siempre que sean 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en la doctrina de este Tribunal, este test de la proporcionalidad, que el Abogado del Estado llama “test alemán de la proporcionalidad”, se descompone en tres juicios sucesivos, desde la STC 66/1995, de 8 de mayo, FJ 5: el juicio de idoneidad, el juicio de necesidad y el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argumenta que el Auto de planteamiento no cuestiona la idoneidad de la medida para el fin propuesto, sino que más bien parece centrarse en el juicio de necesidad (en terminología de este Tribunal), esto es, en considerar que la medida no es la menos restrictiva (“less restrictive alternative”) para alcanzar ese fin legítimo. El sector, vendría a razonar el Auto (según el Abogado del Estado), está “hiperprotegido”, y “sobra por ello … la medida de inversión obligatoria” que es objeto de esta cuestión de inconstitucionalidad. Al respecto, se muestra crítico con el Auto de planteamiento, por no ofrecer una detallada descripción de otras medidas alternativas de eficacia pareja, ni hacer un juicio racional comparativo entre ellas, como correspondería a quien cuestiona la necesidad de esa medida. Si el órgano promotor, concluye el Abogado del Estado, no levanta esa “carga” procesal que corresponde a quien cuestiona la necesidad de una medida restrictiva de un derecho constitucional, tampoco debe el defensor de la norma asumir la carga inversa de justificar su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que al juicio de proporcionalidad en sentido estricto se refiere, el Abogado del Estado considera que la medida cuestionada reporta más beneficios que desventajas, y supera, por tanto, el indicado canon. Así, apunta en primer lugar a la conexión de la producción cinematográfica con la cultura, ya señalada en la exposición de motivos de la Ley 15/2001 de la que trae redacción el precepto cuestionado; y recuerda que la promoción de la cultura es una obligación de los poderes públicos de conformidad con los arts. 44.1, 46 y 149.2 CE. Además, considera igualmente justificado un segundo objetivo de la medida, como es lograr una mayor integración económica entre el cine y la televisión dando lugar a un “sector conjunto audiovisual”, también señalado en el preámbulo de otra Ley, esta vez la Ley 55/2007. A partir de ahí, argumenta que el conjunto de las ayudas establecidas al sector en la citada Ley 55/2007 no pueden, aisladamente ni en conjunto, alcanzar el fin propuesto, y que la medida de inversión obligatoria, además de promover la identidad cultural española y europea, y proteger también la diversidad cultural y lingüística nacional y continental, constituye un medio para posibilitar el cumplimiento de la reserva de emisión de nuevas obras cinematográficas establecida por la normativa del sector. “Si no se producen nuevas obras cinematográficas españolas y europeas”, razona el representante del Gobierno, “la reserva debería satisfacerse con películas antiguas, con lo que —al menos en parte— se frustraría la finalidad de preservación y promoción de la diversidad cultural, que no es solo goce del pasado sino continuidad hacia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ante este Tribunal el 13 de mayo de 2010, la Entidad de Gestión de Derechos de los Productores Audiovisuales, parte en el recurso contencioso-administrativo que ha dado lugar al presente proceso constitucional, solicitó al amparo de lo establecido en el art. 37.2 LOTC su personación en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24 de mayo de 2010, la Secretaría del Pleno de este Tribunal acordó tener por personada a la entidad de gestión de derechos de los productores audiovisuales en la presente cuestión de inconstitucionalidad y entender con ella las sucesivas actuaciones, así como, en aplicación del art. 37.2 LOTC, concederle un plazo de quince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presentó sus alegaciones por escrito registrado el 8 de junio de 2010. En él, defiende la constitucionalidad de la norma cuestionada y solicita en consecuencia la desestimación de la cuestión de inconstitucionalidad promovida.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 extenso recordatorio de los antecedentes de la presente cuestión de inconstitucionalidad, su régimen jurídico, y de los razonamientos del Auto de planteamiento, y señalar, como cuestión previa, que no existen óbices procesales a su examen y resolución por este Tribunal, se adentra en el análisis de fondo de la norma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asimismo de la doctrina de la STC 112/2006, y de que la libertad de inversión es una vertiente imprescindible de la libertad de empresas del art. 38 CE. Pero no comparte sin embargo la conclusión a la que llega la Sala cuestionante desde esas premisas. No toda medida que incida en la libertad de empresa, sostiene, es necesariamente contraria al art. 38 CE. Lo será solo si constituye un obstáculo a la misma que no guarde relación y sea desproporcionado con el fin perseguido, pero no en otro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el contenido de la libertad de empresa despende del tipo de actividad empresarial que se realice, y que la afectación con esa actividad a intereses de la comunidad, como ocurre con la actividad televisiva, justifica una intervención pública más intensa en esa actividad, en contrapartida con la posición de privilegio que ocupa el concesionario que usa un bien escaso como 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no cabe duda de la legitimidad constitucional del objetivo de la medida, que es tanto fomentar la creación y producción cinematográfica como una manifestación cultural y de la producción y creación artística del art. 20 CE, como, de modo mediato, proteger y promover la industria española y europea frente a poderosas industrias no europeas, favoreciendo así la divulgación de los valores pluriculturales propios del continente y del proceso de unificación europea. Destaca, así, que las obras audiovisuales en general y el cine en particular desempeñan un trascendente papel en la conformación y aprehensión de estos valores y de las identidades europeas, tanto en lo que se refiere a aspectos comunes compartidos con el conjunto de Europa, como en lo relativo a la diversidad cultural característica de nuestro país. Las obras audiovisuales no son así exclusivamente bienes económicos, sino también culturales. Y ello justifica que su producción y comercialización no sean confiadas exclusivamente a fuerzas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pone especial énfasis, además, en un dato de capital importancia que, le parece, omite el Auto de planteamiento: la insuficiencia de las medidas citadas por la resolución judicial para sostener una industria que juega el importante papel ya señalado, y que resulta acreditado por el informe de la Secretaría de Estado de Telecomunicaciones y para la Sociedad de la Información aportado a las actuaciones del proceso contencioso-administrativo subyacente, que concluye que sin la financiación de las televisiones “sería prácticamente imposible completar la financiación de películas” y devendría “inviable la posibilidad de lograr una industria cinematográfica sólida”. De donde deriva que no se puede prescindir de la medida cuestionada, por más que existan otras dirigidas al mismo objeto, y que si se prescindiera de ella no podría lograrse el objetivo legítimo perseguido, y ya señalado. Es, además, un modelo semejante al que existe en países de nuestro entorno, según resulta del mismo informe antes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por último, se impone en una cuantía muy moderada (5 por 100 de los ingresos) y es, además, rentable para los operadores, como concluye igualmente el informe de la Secretaría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medida cuestionada le parece al Fiscal idónea, necesaria y adecuada para la finalidad perseguida, que es además legítima, por lo que le parece conforme con 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18 de junio de 2010, la Entidad de Gestión de Derechos de los Productores Audiovisuales presentó sus alegaciones en el Registro General de este Tribunal. En ellas considera principalmente que no concurren los presupuestos procesales para que este Tribunal pueda pronunciarse, al haber sido derogada la norma cuestionada. Subsidiariamente, solicita la desestimación de la cuestión suscitada, por ser el art. 5.1, párrafo segundo, de la Ley 25/1994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Apela a la Ley 7/2010, general de comunicación audiovisual, que califica estos servicios como “servicios de interés general” (art. 22), de manera que cumplen una relevante función de interés público, y no solo económica, que no ha sido valorada por el Tribunal Supremo. Dicha función consiste en fomentar la producción audiovisual europea y fomentar así la diversidad cultural de Europa. Cita asimismo los considerandos 74 y 79 de la Directiva UE/13/2010, de 10 de marzo, de coordinación de determinadas disposiciones legales, reglamentarias y administrativas de los Estados miembros relativas a la prestación de servicios de la comunicación audiovisual, y le parece que de ellos se deriva la proporcionalidad de la medida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Critica además el razonamiento del órgano proponente sobre la incongruencia de la medida, al no imponerse a todos los operadores de televisión, y afirma que es justamente esa reducción de los destinatarios la que hace a la norma coherente y apropiada, pues se conecta y vincula, y a la postre justifica, por los contenidos y programación del operador. Recuerda que no es éste el titular del espectro radioeléctrico, sino el Estado, y que es éste quien tiene legitimidad para defender su derecho, pudiendo imponer por ello una obligación como la controvertida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 de marzo de 2016 se acordó señalar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Tercera de lo Contencioso-Administrativo del Tribunal Supremo cuestiona la constitucionalidad del art. 5.1, párrafo segundo, de la Ley 25/1994, de 12 de julio, en la redacción temporalmente aplicable al recurso contencioso-administrativo que debe resolver, que proviene de la disposición adicional segunda de la Ley 15/2001, de 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del precepto ha quedado recogido en el antecedente 1 de esta Sentencia. Resumidamente, se trata de la norma que impone a ciertos operadores de televisión —en concreto, a los que tengan la responsabilidad editorial de canales cuya programación incluya largometrajes cinematográficos de producción actual, producto que también define el propio precepto legal como aquellos que tengan una antigüedad menor de siete años desde su fecha de producción— la obligación de destinar un mínimo del 5 por 100 de la cifra total de ingresos devengados en el ejercicio anterior a la financiación anticipada de largometrajes y cortometrajes cinematográficos y películas para televisión europeas, y que a su vez reserva el 60 por 100 de ese 5 por 100 a producciones cuya lengua original sea cualquiera de las oficiales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cuestionante la citada obligación pudiera ser contraria a la libertad de empresa garantizada en el art. 38 CE, por no superar el canon de proporcionalidad a que deben someterse las restricciones de la libertad de empresa como las de cualquier otro derecho constitucional, de conformidad con la doctrina de este Tribunal (cita en este sentido la STC 112/2006, de 5 de abril, también sobre el sector audiovisual, FJ 8). Esta conclusión no la comparten el Gobierno de la Nación ni el Fiscal General del Estado, partes necesarias en las cuestiones de inconstitucionalidad (art. 37.3 de la Ley Orgánica del Tribunal Constitucional: LOTC), ni tampoco la entidad de gestión de derechos de los productores audiovisuales, que siendo parte en el proceso contencioso-administrativo seguido ante la Sala Tercera del Tribunal Supremo en cuyo seno se planteó la presente cuestión de inconstitucionalidad, ha comparecido y formulado alegaciones en este proceso constitucional, al amparo del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adentrarnos en el examen del debate de fondo suscitado, debemos detenernos en analizar la trascendencia que para este proceso constitucional haya podido tener la derogación expresa tanto del precepto legal cuestionado como de la norma reglamentaria recurrida en el proceso a quo, por si una u otra pudieran hacer ya innecesario el pronunciamiento de este Tribunal Constitucional sobre el fondo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la Ley 7/2010, de 31 de marzo, general de la comunicación audiovisual ha derogado expresamente tanto la Ley 25/1994 en que formalmente se integra el precepto cuestionado como la Ley 15/2001 de la que proviene su redacción material aplicable en el proceso a quo, y objeto de la presente cuestión de inconstitucionalidad (disposición derogatoria, apartados 6 y 12). Sin embargo, la citada derogación no ha supuesto la supresión de la obligación de inversión cuestionada, pues la Ley general de la comunicación audiovisual ha reiterado esta obligación de inversión de los operadores de televisión en obras audiovisuales europeas en su art. 5.3, si bien con algunas modificaciones que no afectan a sus elementos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reglamento que desarrollaba esa obligación legal, aprobado por Real Decreto 1652/2004, de 9 de julio, que es la disposición impugnada en el proceso seguido ante la Sala de lo Contencioso-Administrativo del Tribunal Supremo en cuyo seno se ha planteado la presente cuestión de inconstitucionalidad, ha sido también derogado, recientemente, por el Real Decreto 988/2015, de 30 de octubre, por el que se regula el régimen jurídico de la obligación de financiación anticipada de determinadas obras audiovisuales europeas, publicado en el “Boletín Oficial del Estado” núm. 267, de 7 de noviembre de 2015, y que entró en vigor al día siguiente de su publicación, según su disposición final cuarta. Si bien, como en el caso anterior, esa derogación no ha eliminado tampoco la obligación de inversión de cuya constitucionalidad se duda (lógicamente, pues esta obligación es reiterada por la nueva Ley general de la comunicación audiovisual y sigue vigente, de acuerdo con su art. 5.3 ya mencionado), sino que solamente ha supuesto la modificación de algunos aspectos de su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por lo que hace a la primera derogación, la del precepto legal objeto de la presente cuestión de inconstitucionalidad, la misma no es determinante de la pérdida de objeto de este proceso, pues como este Tribunal ha reiterado, a diferencia de lo que ocurre con los recursos de inconstitucionalidad,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(STC 37/2004, de 11 de marzo, FJ 1, y jurisprudencia allí citada). Y más en concreto, en aquellos casos en que la cuestión de inconstitucionalidad se plantea en el seno de un recurso directo contra un reglamento ante la jurisdicción contencioso-administrativa (arts. 106.1 CE y 1.1, 25.1 y 26.1 LJCA), como aquí sucede, este Tribunal también ha recordado que como “el contraste de la disposición reglamentaria impugnada en el proceso judicial ha de realizarse con el precepto legal vigente en aquel momento”, ello hace que “perviv[a] el objeto de la presente cuestión de inconstitucionalidad, dado que la derogación, con sus efectos ex nunc, no es equivalente a una hipotética declaración de nulidad, cuyos efectos se proyectan, al menos en vía de principio, hacia el pasado” (SSTC 117/2011, de 4 de julio, FJ 2, y 73/2014, de 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la segunda derogación apuntada, la del reglamento recurrido en el proceso a quo, tampoco puede hacer perder su objeto a esta cuestión de inconstitucionalidad. No solo porque como ya hemos señalado los efectos de la derogación del reglamento sean diferentes de los que podrían derivarse de una eventual declaración de nulidad acordada en el proceso a quo; nulidad que podría derivar de la inconstitucionalidad de la obligación legal que el reglamento desarrolla, que es lo planteado por la Sala Tercera del Tribunal Supremo. Es que además el nuevo reglamento no elimina tampoco la obligación de inversión de cuya constitucionalidad se duda. Y al no eliminar estas modificaciones normativas, ni la de la ley ni la del reglamento, el aspecto controvertido tanto en el proceso a quo como en este proceso constitucional, ello hace que subsista el objeto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ATC 23/2013, de 29 de enero, FJ 4, hemos admitido que efectivamente una cuestión de inconstitucionalidad puede extinguirse por desaparición sobrevenida de su objeto como consecuencia de la derogación de la norma reglamentaria objeto de recurso directo en el proceso a quo si el reglamento no conserva ningún género de ultraactividad (tal y como exige la jurisprudencia de la Sala Tercera del Tribunal Supremo para declarar la extinción de esta clase de procesos) y la cuestión de inconstitucionalidad se formula contra la norma legal de cobertura (así, por ejemplo, STC 147/2012, de 5 de julio). En tales casos “ninguna utilidad tendría ya un pronunciamiento de este Tribunal para un proceso judicial extinguido”. Ahora bien, según matizamos inmediatamente “el examen que este Tribunal debe realizar sobre la posible extinción del proceso judicial ordinario debe ser de evidencias y a los solos fines de la admisibilidad de la cuestión planteada, sin sustituir al órgano judicial en la aplicación e interpretación de la legalidad ordinaria”, de modo que “sólo si la pérdida de objeto del procedimiento judicial ordinario es clara y manifiesta, puede este Tribunal declarar la extinción de la cuestión de inconstitucionalidad por esta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al igual que sucedió en el resuelto en el citado ATC 23/2013, no se dan las condiciones requeridas para que este Tribunal pueda afirmar la pérdida de objeto del proceso a quo. Como ya se ha dicho, la obligación de inversión de cuya constitucionalidad se duda subsiste en la nueva y vigente Ley general de la comunicación audiovisual. Y además, esa obligación legal vigente que desarrollan los dos reglamentos sucesivos (el derogado y el hoy vigente) ni es de cumplimiento instantáneo, ni tiene por qué agotarse necesariamente en el ejercicio al que se imputa el gasto (cfr. arts. 8 del Real Decreto 1652/2004, de 9 de julio, y 20 y 21 del Real Decreto 988/2015, de 30 de octubre). Por consiguiente, no puede descartarse prima facie cierta ultraactividad del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con independencia de lo que pueda resolver la Sala Tercera en el ejercicio de su jurisdicción (art. 117.3 CE), no compete a este Tribunal anticipar la posible pérdida de objeto del proceso contencioso-administrativo a quo. Procede, en consecuencia, entrar a resolver la cuestión de inconstitucionalidad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esta tarea, hemos de partir de una constatación fundamental no cuestionada por nadie, ni por el órgano proponente ni por las partes comparecidas, pero que resulta imprescindible para el desarrollo de nuestro análisis, y es que la imposición a un empresario de la obligación de invertir cierta parte de los ingresos obtenidos por su actividad en un determinado producto afecta o incide en la libertad de empresa constitucionalmente garantizada (art. 38 CE). Efectivamente, según tiene declarado este Tribunal, el mencionado derecho incluye como una de sus vertientes fundamentales no solo la libertad para crear una empresa y actuar en el mercado, sino también, por lo que aquí importa, la libertad para fijar los objetivos y planificar la actividad de esa empresa en atención a los recursos y a las condiciones del mercado [SSTC 96/2013, de 23 de abril, FJ 6; 112/2006, de 5 de abril, FJ 8, y 225/1993, de 8 de julio, FJ 3 b)], lo que comprende la “libertad de inversión” en expresión utilizada por la ya citada STC 112/2006, FJ 4, de donde la toma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también es jurisprudencia de este Tribunal que la libertad de empresa “no es un derecho absoluto e incondicionado” y que su vigencia no resulta comprometida por el hecho de que existan limitaciones a su ejercicio derivadas de las “reglas que disciplinen, proporcionada y razonablemente, el mercado”, como han recordado entre las más recientes las SSTC 108/2014, de 26 de junio, FJ 3, y 53/2014, de 10 de abril, FJ 7, y muchas otras desde la STC 127/1994, de 5 de mayo, dictada precisamente en el recurso interpuesto contra la Ley de televisión privada de 3 de mayo de 1988 [FJ 6 d)]. Porque del art. 38 CE no puede derivarse sin más “el derecho a acometer cualquier empresa” o a ejercerla sin traba ni limitación de ningún tipo, “sino sólo el [derecho] de iniciar y sostener en libertad la actividad empresarial, cuyo ejercicio está disciplinado por normas de muy distinto orden” (STC 83/1984, de 24 de julio, FJ 3), o lo que es lo mismo, a ejercer esa actividad “con plena sujeción a la normativa sobre ordenación del mercado y de la actividad económica general” (STC 135/2012, de 19 de junio,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Constatada la afectación de la medida cuestionada a la libertad de empresa constitucionalmente garantizada, procede plantearse seguidamente qué condiciones deben cumplir esa clase de afectaciones para ser respetuosas con 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propone su control desde el parámetro del principio de proporcionalidad. Efectivamente, desde la STC 66/1991, de 22 de marzo, este Tribunal ha empleado este canon de constitucionalidad, así explicado en la STC 66/1991 citada,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sus primeras resoluciones (STC 26/1981, fundamento jurídico 15), ha venido a decir el Tribunal que, no siendo los derechos que la Constitución reconoce garantías absolutas, las restricciones a que puedan quedar sometidos son tolerables siempre que sean proporcionadas, de modo que, por adecuadas, contribuyan a la consecución del fin constitucionalmente legítimo al que propendan, y, por indispensables, hayan de ser inevitablemente preferidas a otras que pudieran suponer, para la esfera de libertad protegida, un sacrificio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para ponderar la constitucionalidad de la prohibición impugnada, tanto en lo que se refiere a la libre circulación de bienes como en lo que atañe a la libertad de empresa y el derecho a la propiedad privada … es preciso efectuar un juicio de proporcionalidad, en el que, además del objetivo que al establecerla se persigue y comprobando la legitimidad constitucional del mismo, se verifique también la relación de causalidad y necesidad que con él debe guardar la prohibición en cuanto medio ordenado para hacerlo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test de proporcionalidad se ha aplicado solamente a regulaciones que pueden afectar al acceso al mercado, al comienzo en el ejercicio de la actividad (vgr. la caducidad de las autorizaciones de farmacia, STC 109/2003, de 5 de junio, FJ 15) o a regulaciones autonómicas que pueden introducir desigualdad en las condiciones de ejercicio de una actividad empresarial (STC 96/2013, de 23 de abril, FJ 7, con cita de otras). Pero cuando se trata de regulaciones que “afectan al ejercicio de una actividad empresarial, sin afectar al propio acceso a la misma”, como ocurre en este caso, el canon de constitucionalidad empleado por la jurisprudencia de este Tribunal es algo diferente, pues solamente permite verificar si esas medidas son “constitucionalmente adecuadas”, esto es, si la medida cuestionada “constituye una medida adecuada para la consecución de un fin constitucionalmente legítimo, sin que le corresponda a este Tribunal ir más allá, pues ello supondría fiscalizar la oportunidad de una concreta elección del legislador, de una legítima opción política” (STC 53/2014, de 10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y en aplicación de la precedente doctrina, la medida aquí cuestionada, que afecta al desarrollo de la actividad empresarial pero no al acceso a la misma, y tampoco entraña ninguna desigualdad entre operadores, debe someterse solamente al doble escrutinio siguiente: en primer lugar, debe comprobarse si el fin perseguido por ella es constitucionalmente legítimo; y en segundo lugar, caso de superarse este primer examen, debe verificarse además si la medida es adecuada para la consecución de ese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Por lo que respecta al primero de esos requisitos, nadie ha puesto en duda la legitimidad constitucional del fin perseguido. Sin embargo, ello no debe ser óbice para que este Tribunal Constitucional entre a verificar su concurrencia.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cine es, entre otras cosas, una manifestación cultural. La vinculación entre el cine y la cultura está ya establecida desde el mismo preámbulo de la Ley 55/2007, de 28 de diciembre, del cine, que en sus primeras líneas pone de manifiesto que “[l]a actividad cinematográfica y audiovisual conforma un sector estratégico de nuestra cultura y de nuestra economía”, constituye una “manifestación artística y expresión creativa” que “es un elemento básico de la entidad cultural de un país”, y contribuye “al mantenimiento de la diversidad cultural” de España, siendo todos ellos “elementos suficientes para que el Estado establezca las medidas necesarias para su fomento y promoción”. Por consiguiente, la protección de esta manifestación cultural tiene expreso anclaje en los arts. 20.3 (pluralismo de los medios de comunicación social dependientes del Estado o de cualquier ente público), 44 (derecho a la cultura) y 149.2 CE, que considera el servicio de la cultura como “deber y atribución esencial” del Estado, así como en el art. 46 CE en lo tocante al enriquecimiento del patrimonio cultural de los pueblos de España (recuérdese la reserva del 60 por ciento de la cantidad total comprometida por la norma para la financiación de “producciones cuya lengua original sea cualquiera de las oficiales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y por lo que respecta a las obras europeas, y no solo españolas, que son las que la norma cuestionada intenta proteger y promocionar, es asimismo incuestionable que por medio o a través de ellas se consigue la conformación y aprehensión de las identidades europeas, tanto las comunes o compartidas, como las singulares de cada Estado de la Unión, y que ello favorece el logro de “una unión cada vez más estrecha entre los pueblos de Europa”, que es el fin primordial del proceso de integración europea consagrado en el preámbulo y en el art. 1 del Tratado de la Unión Europea. Y que, por ello, es un fin de indudable interés para España como partícipe de ese proceso de integración.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modo más específico, desde el Tratado de Maastricht, que introdujo el entonces art. 128 del Tratado constitutivo de la Comunidad Europea, actual art. 167 del Tratado de funcionamiento de la Unión Europea (TFUE), la cultura se ha convertido en una de las políticas de la Unión, que debe contribuir “al florecimiento de las culturas de los Estados miembros, dentro del respeto a su diversidad nacional y regional, poniendo de relieve al mismo tiempo el patrimonio cultural común” (apartado 1) y favorecer “la mejora del conocimiento y la difusión de la cultura y la historia de los pueblos europeos” (apartado 2), complementando de este modo las actuaciones que deben desarrollar prioritariamente los Estados miembros, de acuerdo con el art. 6 c) del mismo TFUE.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resulta la legitimidad constitucional del fin perseguido por la norma, tanto en lo que se refiere a la promoción de la industria cinematográfica y audiovisual española, como en lo que se refiere a la del resto de países europeos (con implícita exclusión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protección de esta industria, española y europea, frente a poderosos competidores externos (no europeos) no puede merecer tampoco ningún reproche, desde esta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puede dudarse de la adecuación de la medida cuya constitucionalidad se cuestiona al fin perseguido por la norma. La inversión forzosa, impuesta por la ley, de cierta cantidad de dinero cada año en la financiación de películas y obras audiovisuales españolas y europeas, cuyo componente cultural ya hemos destacado, evidentemente contribuye a promocionar la cultura y la identidad e identidades europea/s y española/s ínsita en esas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que antecede fundamenta ya la desestimación de la presente cuestión de inconstitucionalidad. No obstante, resulta pertinente efectuar alguna precisión adicional teniendo en cuenta que la presente cuestión de inconstitucionalidad se ha visto precedida por una cuestión prejudicial ante el Tribunal de Justicia de la Unión Europea planteada por el mismo órgano jurisdiccional (la Sala Tercera del Tribunal Supremo) en el curso del mismo procedimiento (recurso contencioso-administrativo núm. 104-2004) y en relación con la misma medida ahora cuestionada (la obligación de los operadores de televisión de invertir cierta parte de sus ingresos en determinadas obras audiovisuales). Una cuestión prejudicial que fue desestimada por el Tribunal de Justicia por considerar que la mencionada obligación es compatible con el Derecho de la Unión, y más en concreto con las libertades fundamentales consagradas en el Tratado fundacional (Sentencia del Tribunal de Justicia de la Unión Europea de 5 de marzo de 2009, asunto C-222/07, UTECA).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Obviamente, la desestimación de una cuestión prejudicial planteada ante el Tribunal de Justicia de la Unión Europea no impide el planteamiento de una cuestión de inconstitucionalidad ante este Tribunal Constitucional en relación con el mismo precepto legal, pues una y otra jurisdicción tienen ámbitos diferentes (por todas, STC 28/1991, de 14 de febrero, FFJJ 4 a 6), ni condiciona el pronunciamiento de este Tribunal en esa cuestión de inconstitucionalidad. Ahora bien, tratándose de limitaciones a la libertad de empresa, la pertenencia de España a un espacio de libre circulación de personas, servicios y capitales, como es la Unión Europea, y la conformidad de la medida cuestionada con esas libertades y principios apreciada por el Tribunal de Luxemburgo, hace que esta jurisdicción constitucional deba tener muy presentes las conclusiones alcanzadas por este último en ese proceso anterior sobre la misma medida ahora sometida a nuestro control, al haber sido esa medida contrastada en ese proceso anterior con normas que en última instancia persiguen preservar el mismo interés jurídicamente protegido en 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hace que resulte de especial interés para este proceso constitucional destacar las siguientes manifestaciones efectuadas por el Tribunal de Justicia en la aludida Sentencia UTECA: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la obligación impuesta “a los operadores de televisión a destinar el 5 por 100 de sus ingresos de explotación a la financiación anticipada de películas cinematográficas y para televisión europeas … no contiene ningún elemento que permita afirmar que tal medida constituye, en la práctica, una restricción a alguna de las libertades fundamentales garantizadas por el Tratado” (apartado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por su parte, “la obligación de destinar a obras cuya lengua original sea una de las lenguas oficiales de [España] el 60 por 100 del 5 por 100 de los ingresos de explotación destinados a la financiación anticipada de películas cinematográficas y de televisión europeas” sí constituye “una restricción a varias libertades fundamentales, concretamente, a la libre prestación de servicios, a la libertad de establecimiento, a la libre circulación de capitales y a la libre circulación de trabajadores” (apartado 25). Sin embargo, se trata de una restricción compatible con el Derecho de la Unión en la medida en que está “justificada por una razón imperiosa de interés general” consistente en “promover una o varias de sus lenguas oficiales” (apartado 27), es “adecuada para garantizar la consecución de tal objetivo” (apartado 29) y no va “más allá de lo necesario para alcanzar el citado objetivo”, de acuerdo con lo razonado a este respecto en los apartados 30 a 36 de la mencionada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ello, es obligado concluir que la disposición cuestionada cumple las condiciones a que deben someterse las regulaciones que afectan al ejercicio de la actividad empresarial. Y ello conduce directamente a la desestimación de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