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4983-2015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4983-2015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23 de noviembre de 2015 en el recurso de amparo núm. 4983-2015.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8 de septiembre de 2015, don Andrés Martínez López-Puigcerver y don Emilio Martínez López-Puigcerver, interpusieron recurso de amparo contra la Sentencia de la Sala de lo Civil del Tribunal Supremo de 9 de junio de 2011 que resolvía el recurso de casación e infracción procesal, y contra la providencia de 23 de abril de 2013 que inadmitía el incidente de nulidad de actuaciones interpuesto contra la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síntesis, los hechos de los que trae causa la demanda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núm. 2 de Orgaz, se siguieron los autos del juicio de mayor cuantía, en los que doña Francisca López-Puigcerver Blanco, madre de los demandantes de amparo, actuaba, junto con otros, como demandada y actora reconvencional. El Juzgado dictó Sentencia por la que estimó la demanda y desestimó la reconvención condenado en costas a doña Francisca, junto con los otros demandados.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17 de septiembre de 2007, la Sección Segunda de la Audiencia Provincial de Toledo resolvió por Sentencia el recurso de apelación, que había sido interpuesto por algunos demandados —entre los que no se encontraba doña Francisca—, desestimando la demanda y estimando la reconvención.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dicha Sentencia, los actores interpusieron recurso extraordinario por infracción procesal y por el Procurador don Ignacio Cuadrado Ruescas en representación, entre otros, doña Francisca López-Puigcerver, recurso de casación y extraordinario por infracción procesal. Los recursos fueron admitidos por Auto de la Sala Civil del Tribunal Supremo de 23 de junio de 2009 y finalmente por Sentencia de 9 de junio de 2011, se estimó el recurso extraordinario por infracción procesal interpuesto por los actores y fueron desestimados los interpuestos por los demandados, exponiéndose, en relación con el recurso interpuesto por doña Francisca López-Puigcerver, en el fundamento jurídico quinto,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“QUINTO.- Recurso por infracción procesal y de casación interpuesto por doña Francisca López-Puigcerver Blanco y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referidos recursos, interpuestos por quienes no fueron apelantes y, en consecuencia, evidenciaron su asentimiento a lo resuelto en primera instancia en sentencia que era desfavorable a sus pretensiones- lo que ahora les priva de legitimación para recurrir- ha quedado, en todo caso, sin objeto en cuanto pretende la extensión a los mismos de lo resuelto por la sentencia de apelación sobre la estimación de la reconvención, pronunciamiento que ahora queda sin efecto y que, en consecuencia, no puede beneficiarles.”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escrito de 15 de febrero de 2015 don Anibal Bordallo Huidobro, en representación de los demandantes de amparo, promovió incidente de nulidad de actuaciones, alegando indefensión por no hacerse activado el mecanismo de la sucesión procesal pese al fallecimiento de su madre el 15 de octubre de 2007, refiriendo que el recurso de casación se interpuso por la representación procesal de su madre tras su fallecimiento, por lo que el poder había cesado.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23 de abril de 2013, dictada por la Sala de lo Civil del Tribunal Supremo, se inadmitió el incidente de nulidad de actuaciones por haberlo presentado fuera del plazo de veinte días, por cuanto que consta que la Sentencia fue notificada a la representación procesal de la recurrente fallecida el 21 de junio de 2011. Añade que la representación procesal no puso en conocimiento de la Sala el fallecimiento de su representada, teniendo constancia del deceso por la manifestación efectuada por la representación de la actora. Y que “con independencia del posible defecto material acontecido en el presente rollo relativo a la sucesión procesal de la recurrente fallecida, en ningún caso llevaría consigo la modificación de la ratio decidendi y consiguiente fallo de la sentencia cuestionada. Todo ello, perjuicio de que la parte haga valer dicho defecto material en el supuesto de tramitación de tasación de costas ocasionadas ante esta Sala”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tutela judicial efectiva sin indefensión (art. 24.1 CE), como consecuencia de que el Tribunal Supremo no dio lugar al mecanismo de la sucesión procesal previsto en el art. 16 de la Ley de enjuiciamiento civil (LEC), así como por el incumplimiento de la obligación legal de notificarles la pendencia del procedimiento (art. 150.2 LEC), ante el fallecimiento de su madre, doña Francisca López-Puigcerver Blanco. Extiende la vulneración a la motivación de la providencia de inadmisión del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noviembre de 2015, la Sección Segunda del Tribunal Constitucional, acordó inadmitir a trámite el recurso de amparo dada la manifiesta inexistencia de violación de un derecho fundamental tutelable en amparo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interpuso, el 12 de enero de 2016, recurso de súplica frente a la providencia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Fiscal que el examen de la documentación aportada y las alegaciones vertidas en la demanda de amparo no permiten descartar la existencia de una apariencia de lesión constitucional del derecho a la tutela judicial efectiva sin indefensión (art. 24.1 CE). Razona que aunque la Sala de lo Civil tuvo conocimiento del fallecimiento de doña Francisca López-Puigcerver Blanco antes de resolver el recurso de casación e infracción procesal interpuesto por su representación procesal, no hay constancia de que activara el mecanismo de sucesión procesal por muerte previsto en el art. 16 LEC, a fin de posibilitar la personación de los demandantes de amparo en defensa de sus derechos e intereses legítimos, lo que vulneró el derecho invocado (STC 54/2014, FJ 4). Considera que la vulneración se perpetuó con la desestimación del incidente de nulidad de actuaciones por la providencia de 23 de abril de 2013, pues “al margen de si el resultado y fallo del recurso hubiera sido exactamente el mismo, lo cierto es que la no activación del mecanismo de sucesión procesal impidió a los recurrentes hacer uso de la facultad de personación que les concede el art. 16 LEC y, por tanto, les privó de su derecho a tomar alguna decisión acerca del propio mantenimiento o no del recurso o, por el contrario, su desistimiento, con los consiguientes efectos procesales, respectivamente, derivados de su posicionamiento final.”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13 de enero de 2016, la Sección Segunda del Tribunal Constitucional tuvo por interpuesto recurso de súplica por el Ministerio Fiscal y, de conformidad con el art. 50.3 de la Ley Orgánica del Tribunal Constitucional, acordó dar traslado a los demandantes de amparo por el plazo de tres días para que alegaran lo que estimaran pertinente. Los recurrentes, mediante escrito de 21 de enero de 2016, se adhirieron al recurso de súplica interpuesto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recurre en súplica la providencia dictada por esta misma Sección en fecha de 23 de noviembre de 2015, por la que se acordó inadmitir a trámite el recurso de amparo (interpuesto contra la Sentencia de 9 de junio de 2011 y la providencia de 23 de abril de 2013, dictadas por la Sala de lo Civil del Tribunal Supremo), dada la manifiesta inexistencia de violación de un derecho fundamental tutelable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Ministerio Público, la Sala de lo Civil del Tribunal Supremo tuvo conocimiento del fallecimiento de la recurrente, doña Francisca López-Puigcerver Blanco, antes de resolver el recurso de casación e infracción procesal interpuesto por su representación procesal, sin que diera lugar al mecanismo de sucesión procesal por muerte previsto en el art. 16 de la Ley de enjuiciamiento civil (LEC), imposibilitando con tal omisión, la personación de los demandantes de amparo en defensa de sus derechos e intereses legítimos. Dicha imposibilidad de personación, a juicio del Ministerio Fiscal, causó la vulneración del derecho a la tutela judicial efectiva, “al margen de si el resultado y fallo del recurso hubiera sido exactamente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razones expuestas en el recurso llevan a la conveniencia de exponer la doctrina constitucional en materia de indefensión, recordada ampliamente por la STC 258/2007, de 18 de diciembre —Pleno— (FJ 3): En efecto, este Tribunal ya desde la STC 48/1984, de 4 de abril, destacó, por un lado, que “la idea de indefensión engloba, entendida en un sentido amplio, a todas las demás violaciones de derechos constitucionales que pueden colocarse en el marco del art. 24” (FJ 1) y, por otro, que “[e]l concepto jurídico-constitucional de indefensión que el art. 24 de la Constitución permite y obliga a construir, no tiene por qué coincidir enteramente con la figura jurídico-procesal de la indefensión ... La conclusión que hay que sacar de ello es doble: por una parte, que no toda infracción de normas procesales se convierte por sí sola en indefensión jurídico-constitucional y por ende en violación de lo ordenado por el art. 24 de la Constitución; y, por otra parte, que la calificación de la indefensión con relevancia jurídico-constitucional o con repercusión o trascendencia en el orden constitucional ha de llevarse a cabo con la introducción de factores diferentes del mero respeto —o, a la inversa, de la infracción de las normas procesales y del rigor formal del enjuiciamiento” (FJ 1). Así, en la STC 48/1986, de 23 de abril, se señaló que “una indefensión constitucionalmente relevante no tiene lugar siempre que se vulneren cualesquiera normas procesales, sino sólo cuando con esa vulneración se aparejan consecuencias prácticas consistentes en la privación del derecho de defensa y en un perjuicio real y efectivo de los intereses del afectado por ella” (FJ 1). Este Tribunal sigue reiterando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 anterior, se viene afirmando de manera continuada la exigencia de la indefensión material no sólo respecto de la vulneración del art. 24.1 CE —por ejemplo, en supuestos de omisión del trámite de audiencia (por todas, STC 156/2007, de 2 de julio, FJ 4) o defectuosos emplazamientos (por todas, STC 199/2006, de 3 de julio, FJ 5)— sino, específicamente, respecto de derechos expresamente reconocidos en el art. 24.2 CE, como los derechos al Juez ordinario predeterminado por la ley y a la imparcialidad judicial, en relación con las incidencias en las composiciones de los órganos judiciales (por todas, STC 215/2005, de 12 de septiembre, FJ 2), o determinadas garantías contenidas en el derecho a un proceso con todas las garantías, como pueden ser la de contradicción en la práctica de diligencias de entrada y registro domiciliario, respecto de su valor probatorio (por todas, STC 219/2006, de 3 de julio, FJ 7), o la de inmediación, respecto de dar por reproducido en juicio las pruebas documentales sin proceder a su lectura (por todas, STC 233/2005, de 26 de septiembre,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ahora enjuiciado, resulta que la Sala de lo Civil del Tribunal Supremo tuvo conocimiento del fallecimiento de doña Francisca López-Puigcerver Blanco por la manifestación de la representación procesal de los otros recurrentes, en el escrito de personación y de oposición a la admisión de los recursos interpuestos, pese a lo cual, como bien afirma el Ministerio Fiscal, omitió el trámite previsto en el art. 16.2 LEC, en virtud del cual el Secretario judicial, en caso de fallecimiento de un litigante, por medio de diligencia de ordenación permitirá que las demás partes pidan que se notifique a los sucesores la existencia del proceso, emplazándoles para comparecer en el plazo de diez días y acordando la suspensión del proceso hasta que comparezcan o finalice el plazo para la comparecencia.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los demandantes de amparo no argumentan que dicha irregularidad procesal haya ocasionado una indefensión material, real o efectiva, como tampoco lo hace en su recurso el Ministerio Fiscal quien, al contrario, sostiene que la vulneración se produce al margen de que el resultado y fallo del recurso hubiera sido exactamente el mismo. Frente a ello, debemos insistir que solo la indefensión material reviste relevancia constitucional a efectos recabar la tutela de este Tribunal mediante el recurso de amparo, con fundamento en el art. 24 CE. De lo que se sigue que, no habiendo alzado los demandantes la carga de justificar la indefensión material supuestamente sufrida, su queja no puede ser 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expuesto permite descartar la identidad del supuesto planteado con el resuelto en la STC 54/2010, de 4 de octubre —citada por el Ministerio Fiscal—, en la que se afirma que la infracción del art. 16.2 LEC ocasionó “una indefensión real y efectiva en los entonces recurrentes en amparo … al introducir como thema decidendi, una cuestión nueva … [lo que] produjo una alteración de los términos del debate procesal a los fines de resolver la apelación”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23 de noviembre de 2015 en el recurso de amparo núm. 4983-2015.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