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415-2014, promovido por don César Prosper Silvestre, representado por la Procuradora de los Tribunales doña Águeda María Meseguer Guillén, bajo la dirección de la Letrada doña María Yolanda Martín López, contra el Auto de la Sala Segunda del Tribunal Supremo de 5 de diciembre de 2013, por el que acuerda no haber lugar a la admisión del recurso de casación núm. 10823-2013 interpuesto contra el Auto de la Sección Tercera de la Audiencia Provincial de Valencia de 9 de mayo de 2013, dictado en la ejecutoria núm. 71-2011, en que se acuerda denegar la revisión de la liquidación de la condena y el abono de cierto periodo de prisión preventiva.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Águeda María Meseguer Guillén, en nombre y representación de don César Prosper Silvestre, y bajo la dirección de la Letrada doña María Yolanda Martín López, interpuso demanda de amparo contra las resoluciones judiciales que se mencionan en el encabezamiento de esta Sentencia, mediante escrito registrado en este Tribunal el 4 de febrero de 2014, tras haberse verificado el nombramiento de profesionales del turno de oficio solicitado por el recurrente mediante escrito registrado en este Tribunal el 23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Audiencia Provincial de Valencia, por Auto de 9 de mayo de 2013, dictado en la ejecutoria núm. 71-2011, acordó denegar al recurrente la revisión de la liquidación de su condena practicada el 22 de julio de 2011 y el abono del periodo de prisión preventiva sufrido entre el 24 de abril de 2009 y el 8 de julio de 2011 en esa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establece como hechos que en la causa de referencia se había dictado Sentencia de 6 de junio de 2011 condenando al recurrente a una pena de prisión de cinco años y seis meses, ordenándose su ejecución el 8 de julio de 2011. El recurrente había estado en situación de prisión preventiva en esa causa desde el 20 de abril de 2009 hasta el 8 de julio de 2011, practicándose una liquidación en que se le abonaron cuatro días de prisión preventiva —del 20 de abril de 2009 al 23 de abril de 2009—, habida cuenta de que desde el 24 de abril de 2009 al 6 de mayo de 2011 estaba cumpliendo una pena de dos años de prisión y quince días de responsabilidad personal subsidiaria en la ejecutoria núm. 1482-2008 del Juzgado de lo Penal núm. 13 de Valencia y a partir del 7 de mayo de 2011 comenzó el cumplimiento de una pena de un año y once meses de prisión en la ejecutoria núm. 932-2008 del Juzgado de lo Penal núm. 5 de Valencia, que tenía prevista la extinción el 31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expone que procede denegar la petición de revisión formulada por el penado “porque de conformidad con reiterada doctrina del Tribunal Supremo, no cabe aplicarle la doctrina del Tribunal Constitucional del doble cómputo del tiempo de privación de libertad como preventivo y como penado, ni siquiera hasta la fecha de entrada en vigor de la Ley Orgánica 5/2010, como interesaba el Ministerio Fiscal”. A esos efectos, se expone, que de conformidad con la STS 265/2012, de 3 de abril, la nueva redacción dada al art. 58.1 por la Ley Orgánica 5/2010, de 22 de junio, en que se establece que “en ningún caso un mismo periodo de privación de libertad podrá ser abonado a más de una causa”, afecta a las sentencias dictadas con posterioridad a su entrada en vigor, lo que es el caso ya que la sentencia a ejecutar es de 6 de junio de 2011, por lo que “no es posible proceder al abono que se interesa ni siquiera con relación al período de preventiva anterior a la entrada en vigor de la citada Ley Orgánica (el 23-12-2010)”.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por escrito registrado el 7 de octubre de 2013, interpuso recurso de casación ante la Sala Segunda del Tribunal Supremo, tramitado con el núm. 10823-2013, alegando indebida aplicación del art. 58.1 del Código penal (CP), en la redacción previa a la dada por la Ley Orgánica 5/2010, así como infracción del art. 5.1 de la Ley Orgánica del Poder Judicial (LOPJ) por no haberse hecho aplicación del art. 58.1 CP en la interpretación dada por la STC 57/2008, lo que daría lugar a una vulneración del derecho a la libertad (art. 17.1 CE) y a la aplicación retroactiva de una norma peyorativa que supone un alargamiento de la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casación fue inadmitido por Auto de 5 de diciembre de 2013, argumentando que, de conformidad con reiterada jurisprudencia de la Sala Segunda del Tribunal Supremo, la norma sobre el abono de la prisión provisional afecta a una cuestión de ejecución por lo que ha de aplicarse la concreta previsión legal vigente al momento de verificarse las operaciones correspondientes a la ejecución. Ello determina que en este caso, al haberse dictado la Sentencia que se pretende ejecutar el 6 de junio de 2011, la redacción del art. 58.1 CP aplicable es la vigente tras la entrada en vigor de la Ley Orgánica 5/2010 y no la previa que fue interpretada por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las resoluciones judiciales impugnadas han vulnerado sus derechos a la tutela judicial efectiva (art. 24.1 CE) y a la libertad personal (art. 17.1 CE), al haberse alargado ilegítimamente una situación de privación de libertad por la negativa a abonar para el cumplimiento de la pena de prisión impuesta en la causa el tiempo de prisión preventiva sufrido como consecuencia de la medida cautelar adoptada en ese mismo procedimiento que se simultaneó con la condición de penado en otras causas —desde el 24 de abril de 2009 hasta el 8 de julio de 2011—, en virtud de la aplicación retroactiva del art. 58.1 CP, en la redacción dada por la Ley Orgánica 5/2010, que resulta contraria a la jurisprudencia constitucional establecida en la STC 57/2008,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justifica la especial trascendencia constitucional del recurso en que las resoluciones judiciales se apartan de la jurisprudencia constitucional en la materia, a cuya sujeción viene obligada por el art. 5.1 LOPJ. Igualmente, se afirma que se trata de un supuesto novedoso ya que el Tribunal Constitucional no ha tenido la oportunidad de pronunciarse respecto de los límites a la aplicación temporal de la redacción dada al art. 58.1 CP por la Ley Orgánica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 de febrero de 2015,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11 de marzo de 2015, acordó tener por recibido el testimonio de las actuaciones y dar vista de las actuaciones al Ministerio Fiscal y a la parte recurrente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30 de abril de 2015, interesa que se otorgue el amparo, se declare vulnerado el derecho a la libertad (art. 17. 1 CE) del demandante, se anulen las resoluciones judiciales impugnadas y se retrotraigan las actuaciones al momento inmediatamente anterior al Auto por la Audiencia Provincial para que se dicte una nueva resolución respetuosa con el derecho a la libertad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el art. 58 CP no puede ser conceptuado como una norma meramente de ejecución de las penas porque con su aplicación se puede reducir el tiempo de permanencia en prisión del condenado y, por tanto, determinadas interpretaciones pueden suponer un alargamiento ilegítimo de la situación de privación de libertad. En relación con ello, afirma que en el presente caso el demandante estuvo en prisión preventiva durante un periodo de tiempo en que estaba en vigor la regulación precedente sobre la materia, que interpretada conforme a una consolidada doctrina del Tribunal Constitucional conllevaba la obligación de un doble cómputo de la situación de privación de libertad, cuando se simultaneaban las condiciones de penado y preso preventivo, lo que suponía una efectiva reducción de la condena privativa de libertad a extinguir. Igualmente, el Ministerio Fiscal dice que, frente a la interpretación sustentada por las resoluciones judiciales impugnadas, caben otras interpretaciones sobre el momento en que la nueva regulación de la materia debería ser aplicable, concluyendo que la interpretación realizada, fuertemente restrictiva del derecho a la libertad del demandante, carece de sustrato normativo sólido y determina la aplicabilidad del llamado sistema de doble cómputo derivado de la regulación del art. 58.1 previa a la reforma operada por la Ley Orgánica 5/2010 a partir de un elemento completamente ajeno a dicha institución, cual es el momento de enjuiciamiento y firmeza de las sentencias, que puede variar según la sobrecarga de trabajo de los órganos judiciales o por causas ajenas al comportamiento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último, sostiene que tampoco las resoluciones impugnadas se acomodan a la jurisprudencia del Tribunal Constitucional sobre el efecto de las modificaciones legislativas de normas procesales que afectan de manera peyorativa a la libertad, afirmando que el Tribunal Constitucional se ha pronunciado expresamente en el caso de la prisión provisional, estableciendo que la elección de la ley aplicable debe hacerse de la manera más favorable al derecho fundamental a la libertad y, por tanto, acudiendo a la ley anterior más beneficiosa (STC 32/1987, de 12 de marzo), considerando aplicable el art. 9.3 CE a las normas procesales en la STC 117/1985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7 de abril de 2015, presentó sus alegaciones, ratificándose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marzo de 2016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vulnera el derecho a la libertad personal (art. 17.1 CE) del recurrente la decisión judicial de no computar el tiempo simultáneamente cumplido en la condición de preso preventivo y penado para determinar el periodo de cumplimiento efectivo de la condena impuesta. La decisión judicial se funda en el argumento de que, tratándose de la ejecución de una Sentencia dictada con posterioridad a la entrada en vigor de la Ley Orgánica 5/2010, de 22 de junio, el precepto aplicable es el art. 58.1 del Código Penal (CP) en la redacción dada por la citada Ley Orgánica 5/2010, que impide el doble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fue admitida a trámite, junto con otros recursos que planteaban la misma cuestión, por considerar que tenía especial trascendencia constitucional al suscitar un problema o una faceta de un derecho fundamental susceptible de amparo sobre el que no haya doctrina del Tribunal Constitucional [STC 155/2009, de 25 de junio, FJ 2 a)], ya que no existía ningún pronunciamiento de este Tribunal sobre la eventual afectación que sobre el derecho a la libertad personal (art. 17.1 CE) podría tener la doctrina de la Sala Segunda del Tribunal Supremo consistente en aplicar la nueva redacción dada al art. 58.1 CP por la Ley Orgánica 5/2010 a supuestos en que se había simultaneado la condición de preso preventivo y penado bajo la vigencia de la redacción dada con anterioridad al art. 58.1 CP por la Ley Orgánica 15/2003, de 25 de noviembre, cuya interpretación conforme con el artículo 17.1 CE había sido establecida en la STC 57/2008,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este recurso de amparo ha sido objeto de reciente pronunciamiento en la STC 261/2015, de 14 de diciembre, a cuya fundamentación es preciso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en el fundamento jurídico 7 de la STC 261/2015 se ha establecido que la posibilidad de aplicar el doble cómputo en los supuestos en que se simultanea la condición de preso preventivo y de penado a que se refería la STC 57/2008 se genera momento a momento, de modo que (i) la modificación legislativa operada en el art. 58.1 CP por la Ley Orgánica 5/2010 para prohibir el doble cómputo no puede desconocer los beneficios del doble abono ya generados en periodos de tiempo en que no estaba vigente y a los que resulta aplicable la interpretación del art. 58.1 CP sustentada en la citada STC 57/2008; pero (ii) la aplicación de la norma derogada no puede tener un aplicación hacia el futuro para situaciones de simultaneidad que todavía no se han producido cuando la redacción de dicho precepto ya prohíbe esa práctica. Por tanto, se concluye que la interpretación judicial según la cual no resulta procedente el abono del periodo o fracción del tiempo en que se ha cumplido simultáneamente la medida cautelar de prisión preventiva y la pena de prisión bajo la vigencia de la redacción del art. 58.1 CP previa a la reforma operada por la Ley Orgánica 5/2010 no resulta respetuosa del derecho fundamental a la libertad personal que reconoce el art. 17.1 CE. Solo a partir de la fecha de entrada en vigor de la redacción dada al art. 58 CP por la citada Ley Orgánica 5/2010 resulta aplicable la nueva redacción que prohíbe el doble abono; manteniéndose en cuanto al tramo anterior el criterio interpretativo sentado en la STC 57/2008 para la redacción del art. 58.1 CP previa a la reforma de la Ley Orgánica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tal como se ha expuesto más ampliamente en los antecedentes, han quedado acreditados los siguientes extremos: (i) el recurrente había solicitado el abono de la totalidad del periodo de tiempo en que había simultaneado la condición de preso preventivo y penado en la causa de referencia, esto es, desde el 24 de abril de 2009 hasta el 8 de julio de 2011, considerando aplicable a todo ese periodo la interpretación que se había realizado por la STC 57/2008 del art. 58.1 CP en la redacción previa a la reforma de la Ley Orgánica 5/2010; y (ii) las resoluciones judiciales impugnadas denegaron el abono de cualquier momento de ese periodo con el argumento de que la sentencia que debía ejecutarse se había pronunciado con posterioridad a la entrada en vigor de la nueva redacción dada al art. 58 por la Ley Orgánica 57/2008, que ya prohibía ese doble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conformidad con la jurisprudencia constitucional establecida en la ya citada STC 261/2015, hay que concluir que el derecho a la libertad (art. 17.1 CE) del recurrente ha resultado vulnerado por las resoluciones judiciales que aplican el art. 58.1 CP, en la redacción dada por la Ley Orgánica 5/2010, a todo el periodo de cumplimiento simultáneo de la medida cautelar de prisión preventiva y de la pena de prisión. Una decisión judicial respetuosa con el derecho a la libertad del recurrente impone que, de acuerdo con el criterio del Tribunal, en relación con el periodo de tiempo de cumplimiento simultáneo producido con anterioridad a la entrada en vigor de la Ley Orgánica 5/2010, sea aplicado el art. 58.1 CP, en la redacción previa a la operada por la citada Ley Orgánica 5/2010, conforme a la interpretación efectuada en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otorgarse el amparo solicitado, con reconocimiento de que se ha vulnerado el derecho a la libertad del recurrente, para cuyo restablecimiento es preciso anular las resoluciones judiciales impugnadas con retroacción de actuaciones para que haya un nuevo pronunciamiento judicial respetuoso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César Prosper Silvestre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la Sección Tercera de la Audiencia Provincial de Valencia de 9 de mayo de 2013, dictado en la ejecutoria núm. 71-2011, y del Auto de la Sala Segunda del Tribunal Supremo de 5 de diciembre de 2013, dictado en el recurso de casación núm. 10823-2013.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