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2611-2014, planteada por la Sección Cuarta de la Sala de lo Contencioso-Administrativo de la Audiencia Nacional en relación con la disposición adicional tercera del Real Decreto-ley 14/2010, de 23 de diciembre, por el que se establecen medidas urgentes para la corrección del déficit tarifario del sector eléctrico. Han intervenido el Fiscal General del Estado y el Abogado del Estado. Han comparecido y formulado alegaciones las entidades Castelnou Energía, S.L., representada por la Procuradora de los Tribunales doña Adela Cano Lantero y asistida por el Abogado don Gervasio Martínez-Villaseñor Fernández, y E.ON España, S.L., representada por la Procuradora de los Tribunales doña María Jesús Gutiérrez Aceves y asistida por la Abogada doña Nuria Encinar Arroyo.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abril de 2014, la Sección Cuarta de la Sala de lo Contencioso-Administrativo de la Audiencia Nacional remitió testimonio del Auto del día 11 del mismo mes y año por el que acordaba plantear cuestión de inconstitucionalidad en relación con la disposición adicional tercera del Real Decreto-ley 14/2010, de 23 de diciembre, por el que se establecen medidas urgentes para la corrección del déficit tarifario del sector eléctrico (en lo sucesivo, Real Decreto-ley 14/2010), por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octubre de 2011 la entidad Castelnou Energía, S.L., interpuso un recurso contencioso-administrativo ante la Sala correspondiente de la Audiencia Nacional contra la Orden ITC/2844/2011, de 19 de octubre, por la que se regulan las transferencias de fondos con cargo a las empresas productoras de energía eléctrica y a los peajes de acceso de terceros a las instalaciones gasistas de la cuenta específica de la Comisión Nacional de Energía al Instituto para la Diversificación y el Ahorro de la Energía, en el año 2011, para la ejecución de las medidas del plan de acción 2008-2012 de la estrategia de ahorro y eficiencia energética en España 2004-2012 y los criterios para la ejecución de medidas contempladas en dicho plan, por entender que dicha disposición no 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Concluidas las actuaciones, el 27 de febrero de 2014, la Sección acordó, en aplicación de lo establecido en el art. 35 de la Ley Orgánica del Tribunal Constitucional (LOTC), con suspensión del plazo para dictar sentencia, oír a las partes y al Ministerio Fiscal, en el plazo común e improrrogable de diez días, sobre la pertinencia de plantear cuestión de inconstitucionalidad en relación con la disposición adicional tercera del Real Decreto-ley 14/2010, de 23 de diciembre, por el que se establecen medidas urgentes para la corrección del déficit tarifario del sector eléctrico. La Sala indicaba tener dudas sobre la adecuación de la citada norma con los principios de interdicción de la arbitrariedad e igualdad establecidos en los arts. 9.3 y 14 CE, “en concreto, si es conforme con las normas constitucionales indicadas el establecer que las cuantías destinadas a la financiación del plan de acción 2008 2012 se financiarán mediante la aportación de determinados porcentajes por un conjunto de empresas productoras o generadoras de electricidad en régimen ordinario nominalmente designadas”. Asimismo, añadía que “la decisión de la cuestión planteada en el presente recurso depende de la validez de dicha disposición adicional tercera, por cuanto la Orden ITC/2844/2011, de 19 de octubre, objeto del mismo, simplemente concreta las cuantías de esos porcentajes en el año 2011 para cada una de las empresas obligadas y establece el procedimiento para su ingreso en la cuenta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alegaciones presentadas en dicho incidente la entidad recurrente consideró procedente el planteamiento de la cuestión de inconstitucionalidad. Por su parte, el Ministerio Fiscal informó que correspondía a la Sala resolver al efecto y la Abogacía del Estado sostuvo que no procedía plantearla. Finalmente, la Sección acordó promover la cuestión de inconstitucionalidad referida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11 de abril de 2014 de la Sección Cuarta de la Sala de lo Contencioso-Administrativo de la Audiencia Nacional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hechos que han dado lugar a la presente cuestión de inconstitucionalidad para formular, a continuación, los juicios de aplicabilidad y relevancia exigibles para su válido planteamiento. Así, entiende que existe una norma con rango de ley aplicable al caso y que de su validez depende la resolución del litigio, concretamente, la disposición adicional tercera del Real Decreto-ley 14/2010, en desarrollo de la cual se dictó la Orden ITC/2844/2011, cuyo art. 2 determina las cuantías destinadas en el año 2011 a las actuaciones del Plan con cargo a las empresas productoras de energía eléctrica (y a los peajes de acceso de terceros a las instalaciones gasistas, que no afectan directamente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“el art. 2 de la Orden, en lo relativo a las empresas productoras de energía eléctrica, se limita a cuantificar los porcentajes establecidos en la disposición adicional tercera del Real Decreto-ley 14/2010. La suerte del litigio depende, por lo tanto, de la validez de la tan repetida disposición”. Asimismo señala que el recurso contencioso se interpone contra los arts. 1, 3 y 6.2 de la Orden ITC/2844/2011, si bien el núcleo del debate se centra en el art. 2, ya que el art. 1 describe el objeto de la orden, el art. 3 la liquidación y el art. 6.2 la aplicación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el órgano judicial se plantea tres preguntas en las que concreta sus dudas sobre la constitucionalidad de la norma: “En primer lugar, si es posible que el legislador imponga, en exclusiva, a las empresas generadoras de electricidad en régimen ordinario, el abono del coste de financiación del plan en el sector energético —270 y 250 millones de euros en los años 2011 y 2012, respectivamente—, lo que podría ser contrario a los arts. 9.3 y 14 de la Constitución. En segundo lugar, si resulta conforme a Derecho seleccionar a determinadas empresas generadoras de electricidad en régimen ordinario e imponerles el abono del plan antes descrito, lo cual también podría ser contrario a las mismas normas. Y, por último, si la atribución a las empresas generadoras de electricidad de la totalidad del abono del plan de acción es razonable y cuáles son los criterios seguidos para determinar la cantidad con la que deben contribuir al gasto, lo que podría constituir un supuesto de arbitrariedad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cuestiones (la razón de que solo las empresas productoras en régimen ordinario, y no las restantes entidades productoras, soporten el coste del plan de ahorro), el Auto expone que “la Abogacía del Estado reconoce que existe un trato desigual, pero sostiene que dicho trato obedece a una causa objetiva y racional. De la lectura de sus argumentaciones se infiere que, en su opinión, se dan dos razones para justificar el tratamiento diferenciado: en primer lugar, se sostiene que debe hacerse un esfuerzo de reducción del déficit tarifario, se razona que las empresas en régimen especial, han contribuido a la reducción de dicho déficit al ser reducidas las denominadas ‘horas equivalentes’ y que las empresas de generación en régimen ordinario también deben contribuir. En segundo lugar, se considera que las empresas afectadas por la disposición han contribuido a la generación del déficit ‘siquiera sea por su condición de perceptoras de los pagos por capacidad’. Concluye la Abogacía del Estado que ‘no puede reputarse como irracional o injustificable’ que se establezca una disposición que implique a las generadoras ordinarias en el esfuerzo para la reducción del déficit”. La Sala no discute la legitimidad del legislador para establecer normas que orienten la política económica en un determinado sentido y que, con tal fin, pueda establecer tratamientos diferenciados, pero las argumentaciones que se ofrecen al respecto no le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Real Decreto-ley 14/2010 justifica las medidas adoptadas en las nuevas condiciones económicas que han generado un escenario no previsto, por lo que se adoptan medidas con el fin de evitar que el déficit tarifario aumente sin control. A este respecto, entiende la Sala que, si bien es razonable que “el Real Decreto-ley modifique el régimen de aplicación a las empresas productoras en régimen especial, pues el coste del mantenimiento de su financiación, conforme a las nuevas previsiones, incrementa el déficit tarifario”, sin embargo lo que no parece razonable es “que dicha medida justifique que la totalidad del coste de la financiación del plan de acción con cargo al sistema eléctrico, recaiga en exclusiva sobre las empresas generadoras en régimen ordinario”. Entre otras razones, porque los beneficios del plan favorecen tanto a las empresas productoras en régimen especial como a las empresas productoras en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Sala trae a colación las alegaciones de la Abogacía del Estado cuando conecta el déficit tarifario con la actividad de producción eléctrica en régimen ordinario, al señalar que estas empresas contribuyen a la generación del déficit tarifario, “siquiera sea por su condición de perceptoras de los pagos por capacidad”, por lo que deben contribuir a su reducción; fundamentación que la Sala no comparte, ya que los pagos por capacidad no afectan, a su juicio, al déficit de tarifa en sentido estricto. Esto lleva a la Sala a concluir que los argumentos esgrimidos para justificar que las empresas de generación de electricidad en régimen ordinario abonen, en exclusiva, el coste de financiación del plan de ahorro no son convincentes, por lo que podría haberse vulnerado 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afirma que el Real Decreto-ley 14/2010 no explica los criterios por los que ha seleccionado a determinadas empresas y analiza las razones aducidas por la Abogacía del Estado para excluir a otras entidades, una de las cuales es su escasa cuota de mercado. Acerca de esto, el órgano judicial sostiene que varias de las empresas excluidas tienen una cuota de mercado superior a las seleccionadas en la disposición cuestionada. Además, le resulta dudoso que se excluya a ciertas empresas por dedicarse, fundamentalmente, a la producción con energías renovables. Finalmente, la Sala asevera que hay empresas de producción en régimen ordinario que la Administración no cita y que no están incluidas en la disposición analizada, respecto de las cuales nada se dice. En definitiva, la Sala concluye que “imponer la carga de abonar los costes del plan de acción a las empresas productoras en régimen ordinario listadas en la norma, con exclusión de las demás, podría resultar contrario al principio de igualdad, pues impone a empresas en situación homogénea o equivalente, un trato diferenciado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estima que la disposición cuestionada también puede ser contraria al principio de interdicción de la arbitrariedad de los poderes públicos (art. 9.3 CE). Se plantea, en primer lugar si es razonable que la totalidad del coste recaiga sobre las empresas enumeradas en la disposición cuestionada, porque el plan de ahorro alcanza a varios sectores, entre los que se halla el eléctrico, pero dentro del cual se benefician no sólo las empresas productoras de electricidad en régimen ordinario sino también otras empresas y los consumidores; prueba de lo cual es que el legislador entendió (hasta la aprobación de la norma discutida) que el coste de estas medidas debía ser abonado por los consumidores, como un coste más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Sala aprecia la posible vulneración del art. 9.3 CE porque, a su juicio, no hay una justificación del porcentaje del coste de financiación que se exige a cada una de las empresas elegidas. En este sentido, la Abogacía del Estado aduce que los porcentajes han sido determinados en atención a la cuota de mercado de cada una, pero con determinadas correcciones debidas, por un lado, a la necesidad de repartir todo el coste del programa entre las once compañías seleccionadas y, por otro, al mayor esfuerzo exigible a las entidades cuyas matrices están incluidas en la disposición adicional vigésimo primera de la Ley 54/1997, de 27 de noviembre, del sector eléctrico (en lo sucesivo Ley 54/1997). Ellas están obligadas, en virtud de dicho precepto, a financiar el déficit de la tarifa eléctrica y tendrán, por tanto, una menor carga como consecuencia del reequilibrio del sistema al que contribuye la medida aquí analizada. Sin embargo, la Sala no considera convincentes las razones esgrimidas, debido a que no llega a indicarse en detalle cómo se han obtenido los porcentajes exigidos a cada entidad. Por otra parte, el argumento de conexión con la disposición adicional vigésima primera de la Ley 54/1997 no tiene en cuenta que la obligación prevista en tal norma consiste en anticipar unas cantidades al sistema eléctrico, con derecho a su recuperación con intereses, por lo que no es asimilable al pago exigido con base en la disposición aquí controvertida, que no es susceptible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reafirmarse en sus dudas de constitucionalidad y acordar, en consecuencia plantear cuestión de inconstitucionalidad acerca de la disposición adicional tercera del Real Decreto-ley 14/2010, de 23 de diciembre, que establece medidas urgentes para la corrección del déficit tarifario del sector eléctrico, por posible vulneración de los arts. 9.3 y 14 CE, al determinar que sean exclusivamente las empresas generadoras de electricidad en régimen ordinario que señala las que abonen la totalidad del coste del plan de acción en el sector eléctrico, y no indicar cómo se han obtenido los porcentajes de los que debe responder cada una de las empresas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este Tribunal de 15 de julio de 2014 se acordó admitir a trámite la presente cuestión, por posible vulneración de los arts. 9.3 y 14 CE; de conformidad con lo dispuesto en el artículo 10.1 c) LOTC, deferir a la Sala Primera, a la que por turno objetivo le ha correspondido,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24 de julio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8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sendos escritos registrados el 31 de julio de 2014, las entidades Castelnou Energía, S.L., y E.ON España, S.L., solicitaron que se les tuviera por personadas y partes. Mediante diligencia de ordenación del 3 de septiembre del mismo año se acordó unir a las actuaciones los referidos escritos, teniendo por personadas a las sociedades citadas y concediéndoles un plazo de 15 días para que formularan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4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Abogado del Estado califica la obligación recogida en la disposición adicional tercera del Real Decreto-ley 14/2010 como una prestación patrimonial de carácter público, que ha sido establecida mediante una norma con rango de ley, en cumplimiento de lo previsto en el art. 31.3 CE. Resalta la circunstancia de haber sido creada mediante una norma con rango de ley en la que, junto a los destinatarios concretos de la medida cuestionada, se contienen medidas referidas a otros actores genéricamente designados, como las empresas de producción en régimen especial, las transportistas, las distribuidoras, etc., de modo que la identificación nominativa de los obligados por la norma controvertida no es causa en sí misma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a continuación, las dudas que el órgano promotor suscita en relación con la norma cuestionada, el Abogado del Estado señala, comenzando por el art. 14 CE, que si el legislador no pudiera imponer prestaciones obligatorias a determinados sujetos conforme a circunstancias objetivas como la cuota de mercado, la dimensión o el status jurídico de una serie de empresas se estaría negando o restringiendo muy significativamente su libertad de configuración, y ello con independencia de la opinión que a cada uno le merezca la conveniencia o el acierto de la medida. Lo relevante, a su entender, es la existencia de una justificación objetiva y razonable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9.3 CE, recuerda la doctrina constitucional sobre el principio de interdicción de la arbitrariedad, de la que destaca la muy distinta posición frente al mismo de las normas con rango de ley, en relación con los actos sujetos a Derecho Administrativo, y la importancia de preservar la libertad de configuración, como expresión del pluralismo político. Añade a ello que el legislador no tiene obligación de expresar los motivos que le llevan a adoptar una determinada decisión, por lo que la falta de justificación expresa no debe considerarse generadora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continúan poniendo de relieve que la norma en cuestión ha de analizarse en el marco del conjunto de las aprobadas para paliar el déficit de la tarifa eléctrica, para lo que se remite a la exposición de motivos del Real Decreto-ley 14/2010, cuando señala que “se establecen un conjunto de disposiciones de tal forma que todos los agentes del sector contribuyan con un esfuerzo adicional y compartido a la reducción del déficit del sistema eléctrico”. Por tanto, discrepa del órgano judicial promotor de la cuestión cuando, en lo que califica como una “excesiva compartimentación”, separa el problema del déficit del sistema eléctrico y la financiación de los planes de ahorro energético. Concluye que, dentro del margen de libertad de regulación que corresponde al legislador, se incluye la imposición de cargas generales a las compañías de producción de régimen ordinario, en el marco de un conjunto de “medidas urgentes para la corrección del déficit tarifario del sector eléctrico”, título del Real Decreto-ley en el que se inserta la disposición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que la norma enjuiciada tiene su propia justificación y obedece a razones objetivas, se compartan o no, en la medida en que la actividad de las compañías generadoras de régimen ordinario no es ajena al déficit tarifario. Entre otras razones, perciben unos pagos por capacidad que, con arreglo al art. 16.1 c) de la Ley 54/1997, se incluyen en la retribución de la actividad de producción eléctrica; pagos que, por el contrario, no obtienen las generadoras de régimen especial, lo que constituye un elemento diferencial entre ellas que, junto a otros, ofrece un fundamento objetivo y razonable a la disposición adicional tercera del Real Decreto-ley 14/2010. Esto conecta, además, con la reducción de la retribución percibida por las empresas productoras de régimen especial, lo que confirma la necesidad de una interpretación sistemática del conjunto del ordenamiento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alegato del Abogado del Estado termina refiriéndose a la asignación concreta de porcentajes, tercer aspecto sobre cuya constitucionalidad alberga dudas la Audiencia Nacional, para señalar que responden a un criterio de capacidad económica y que esta proporcionalidad objetiva no contraviene el principio de igualdad. Insiste en la vinculación de tales porcentajes con los previstos en la disposición adicional vigésima primera de la Ley 54/1997, sobre financiación del déficit de tarifa, para acabar. Enlaza con sus primeras consideraciones, recordando la naturaleza legislativa del acto juzgado en este proceso, y que no se debe exigir al legislador una exposición detallada de las razones de su actividad reguladora. Por todo ello, interesa que se desestime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Castelnou Energía, S.L., cumplimentó el día 26 de septiembre de 2014 el trámite de alegaciones conferido,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justificar que se puedan invocar vicios distintos de los incluidos en el Auto de planteamiento, afirma que la norma cuestionada infringe también el art. 86.1 CE, al no concurrir el presupuesto habilitante para acudir al Real Decreto-ley, que es la extraordinaria y urgente necesidad de la medida; en apoyo de ello argumenta que las órdenes ministeriales de desarrollo de la disposición adicional tercera se aprobaron meses y, en algunos casos, años después de la aprobación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infracción de los arts. 9.3 y 14 CE, para coincidir con los argumentos del Auto de planteamiento sobre el carácter discriminatorio y arbitrario de la disposición objetada.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Castelnou Energía, S.L., estima que se ha vulnerado, asimismo, el principio de reserva de ley del art. 31.3 CE porque se ha impuesto una prestación patrimonial de carácter público sin definir, siquiera indiciariamente, los elementos esenciales de la misma, a lo que se añade que se ha seguido un instrumento normativo, el Real Decreto-ley, no solo faltando el presupuesto de la “extraordinaria y urgente necesidad”, sino excediendo los límites materiales previstos para dicha figura, con la que no puede afectarse al deber de contribuir (art. 31.1 CE), como aquí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la disposición adicional tercera del Real Decreto-ley 14/2010 resulta contraria a los arts. 9.3, 14, 31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E.ON Generación, S.L., cumplimentó, también el día 26 de septiembre de 2014, el trámite de alegaciones, solicitando la estimación de la cuestión, por razones análogas a las esgrimidas por Castelnou Energía, S.L., según se resume a renglón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entidad que no concurren los requisitos exigidos por el art. 86.1 CE para la aprobación del Real Decreto-ley que se enjuicia, pues ni se daba la situación de “extraordinaria y urgente necesidad” ni existe la necesaria conexión del presupuesto habilitante con las medidas establecidas en su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lo anterior que la norma cuestionada vulnera los arts. 9.3 y 14 CE, en línea con los razonamientos del Auto de planteamiento sobre el carácter discriminatorio y arbitrario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estima también infringidos el art. 31.3 CE, porque la norma cuestionada crea una prestación patrimonial de carácter público sin regular los elementos esenciales de la misma, así como el art. 86.1 CE, toda vez que se ha utilizado el Real Decreto-ley excediendo el límite material de no afectar al deber de contribuir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sus alegaciones el 29 de septiembre de 2014, en las que solicitó la desestimación de la cuestión de 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primer lugar, recordando que la doctrina constitucional sobre el control de la arbitrariedad del legislador pone de manifiesto que no debe confundirse con un juicio político de oportunidad ni de calidad técnica de la norma, citando, especialmente, la STC 49/2008, FJ 5. Según esta no existe un deber constitucional del legislador de expresar los motivos que le llevan a adoptar una determinada decisión en ejercicio de su libertad de configuración. Asimismo, al igual que la Abogacía del Estado, enmarca la norma cuestionada en el conjunto de medidas para corregir el déficit tarifario, tanto las demás recogidas en el Real Decreto-ley 14/2010, como otras previstas en normas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previas, el Fiscal General del Estado aborda la primera duda del órgano que promueve la cuestión, para llegar a la conclusión de que las empresas de producción de electricidad en régimen ordinario y en régimen especial no se pueden considerar términos homogéneos de comparación a los efectos del art. 14 CE, puesto que están sometidas a un régimen jurídico distinto. Añade, en este sentido, que la obligación impuesta a las primeras responde a una justificación razonable, expresada en el propio Real Decreto-ley 14/2010: corregir el déficit tarifario mediante un esfuerzo adicional de todos los agentes del sector. Destaca que para las empresas generadoras de régimen especial también se han adoptado medidas con la misma finalidad y que entra en la libertad de configuración del legislador determinar el tipo de medidas que establece respecto de los distintos agentes del sector, por lo que no se ha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selección de determinadas empresas generadoras de régimen ordinario que hace la norma cuestionada, y haciéndose eco de las aclaraciones ofrecidas por la Abogacía del Estado en la contestación a la demanda del proceso a quo, el Fiscal General del Estado considera que repartir la financiación de los planes de ahorro y eficiencia energética atendiendo a criterios como la cuota de mercado y el uso predominante de tecnologías convencionales, excluyendo a las generadoras que utilizan primordialmente fuentes renovables resulta ser un criterio coherente con la finalidad de la norma, en línea con la idea de esfuerzo compartido —que no idéntico— necesario para resolver el déficit de tarifa. En consecuencia, la Fiscalía también discrepa de la Sala de lo Contencioso-Administrativo de la Audiencia Nacional en este segundo aspecto, al entender que la previsión legal que se analiza no carece de justificación, insistiendo, de nuevo, en que el juicio debe ser estrictamente constitucional y no de oportunidad política ni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porcentajes de contribución a los planes de ahorro y eficiencia energética exigidos a cada entidad, y una vez acotado el grupo de las once empresas obligadas, el Ministerio público no aprecia un desequilibrio o trato diferencial que pueda ser calificado como carente de toda justificación objetiva y racional, a partir de las alegaciones formuladas por la Administración del Estado en el proceso a quo; según ellas los porcentajes responden a las cuotas de mercado, con determinados ajustes basados en la cuota de participación que tienen las mayores compañías en la obligación prevista en la disposición adicional vigésimo primera de la Ley 54/1997 (anticipos al sistema eléctrico para financiar el déficit de tarifa). Añade, con invocación de la STC 102/2012, que el juicio de arbitrariedad no exige realizar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anterior, el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24 de noviembre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plantea una cuestión de inconstitucionalidad sobre la disposición adicional tercera del Real Decreto-ley 14/2010, de 23 de diciembre, por el que se establecen medidas urgentes para la corrección del déficit tarifario del sector eléctrico (en lo sucesivo, Real Decreto-ley 14/2010), por posible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bajo el título “Financiación de planes de ahorro y eficiencia energética para los años 2011, 2012 y 2013”,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cuantías con cargo al sistema eléctrico destinadas a la financiación del plan de acción 2008-2012, aprobado el Acuerdo de Consejo de Ministros de 8 de julio de 2005, por el que se concretan las medidas del documento de ‘Estrategia de ahorro y eficiencia energética en España 2004-2012’ aprobado por Acuerdo de Consejo de Ministros de 19 de octubre de 2003, previstas para los años 2011 y 2012 de 270 millones de euros y 250 millones de euros respectivamente, se financiarán mediante la aportación de cada una de las empresas productoras según los porcentajes recogidos en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Generación S.A........................34,66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S.A....................32,71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S.A.......................16,37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Generación, S.L...........................2,96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..........AES Cartagena, S.R.L...........................2,07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..........Bizkaia Energía,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..........Castelnou Energía, S.L.........................1,58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 Generadora del Sur, S.A.............1,62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..........Bahía de Bizkaia Electricidad,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..........Tarragona Power, S.L...........................0,81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....................Total.....................................100,00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con cargo al sistema eléctrico, destinada al plan que se apruebe por Acuerdo de Consejo de Ministros por el mismo concepto a que se refiere el apartado 1, será financiada en 2013 mediante la aportación de cada una de las empresas productoras en los porcentajes del apartado 1 anterior, hasta un máximo de 150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obligación impuesta a las once empresas productoras de electricidad, citadas en la norma, de financiar en exclusiva y en los porcentajes expresamente indicados los planes de ahorro y eficiencia energética para los años 2011, 2012 y 2013, podría incurrir en vulneración de los arts. 9.3 y 14 CE, al no justificarse por qué se han seleccionado estas once entidades en concreto ni los porcentajes atribuidos a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la obligación regulada en la disposición controvertida responde a la necesidad de corregir el déficit tarifario y que concurren razones objetivas que diferencian a las empresas legalmente designadas del resto de agentes del sector, como también existe un criterio para fijar el porcentaje concreto en que cada una debe contribuir a la financiación de los planes indicados, conforme ha quedado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entidades Castelnou Energía, S.L., y E.ON España, S.L., solicitan la estimación de la cuestión, al apreciar que el precepto vulnera el art. 14 CE, en cuanto impone una carga solo a determinadas empresas de generación eléctrica, dando lugar a una desigualdad injustificada. Denuncian, asimismo, la infracción del art. 9.3 CE, por no existir causa que explique la selección de las empresas obligadas, ni el porcentaje de contribución exigido a cada una de ellas. Las citadas sociedades apuntan también a la posible inconstitucionalidad de la norma por colisión con el art. 31.3 CE, al haberse impuesto una prestación patrimonial de carácter público sin definir los elementos esenciales de la misma; también con el art. 86.1 CE, al haberse establecido mediante un Real Decreto-ley sin concurrir el presupuesto habilitante de este instrumento normativo (la extraordinaria y urgente necesidad) y afectarse, además, al deber de contribuir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que, durante la pendencia del proceso a quo, se ha introducido un nuevo sistema de financiación de los planes de ahorro y eficiencia energética, puesto que la aplicación temporal del precepto legal cuestionado se limitaba a los años 2011, 2012 y 2013. Así, a través de los arts. 69 y ss. de la Ley 18/2014, de 15 de octubre, de aprobación de medidas urgentes para el crecimiento, la competitividad y la eficiencia, se ha establecido un sistema de obligaciones para determinadas empresas del sector energético de contribuir al fondo nacional de eficiencia energética creado por dicha Ley, en trasposición de la Directiva 2012/27/UE del Parlamento Europeo y del Consejo, de 25 de octubre de 2012, relativa a la eficiencia energética, que deroga las Directivas 2004/8/CE y 2006/32/CE, en el marco de las cuales se habían aprobado los planes de ahorro y eficiencia energética de 2011, 2012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forma de financiación de los citados planes que arbitra la norma cuestionada ya no resulte de aplicación en la actualidad no afecta a la pervivencia del objeto de este proceso constitucional, puesto que la disposición adicional tercera del Real Decreto-ley 14/2010 es aplicable en el proceso a quo y de su validez depende la decisión a adoptar en este, como exigen el art. 163 CE y el art. 35 LOTC, que es lo determinante para la subsistencia del objeto de la cuestión de inconstitucionalidad, según reiterada doctrina de este Tribunal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los arts. 9.3 y 14 CE, sobre los que se dio audiencia a las partes, tal y como demanda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las entidades Castelnou Energía, S.L., y E.ON España, S.L., suscitan en sus escritos de alegaciones la posible infracción de otros preceptos de la Constitución, aparte de los señalados por el órgano promotor, sobre los que, por tanto, el resto de partes no han sido oídas, no por ello debemos extender a ellos nuestro análisis de constitucionalidad. Las partes personadas no pueden, al hilo de lo dispuesto en el art. 37.2 LOTC, hacer valer una pretensión propia, sino únicamente defender u oponerse a la cuestión formulada por el órgano judicial, dentro de los parámetros fijados por este en su Auto de planteamiento. Todo ello sin perjuicio de la posibilidad que reconoce el art. 39.2 LOTC, como atribución de este Tribunal, y no de las partes del proceso constitucional (SSTC 81/2003, de 30 de abril, FJ 7; 126/2008, de 27 de octubre, FJ 1, y 126/2011, de 18 de julio, FJ 7, por todas), de fundar la declaración de inconstitucionalidad, en su caso,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examen debe circunscribirse al contraste de la disposición cuestionada con los arts. 9.3 y 14 CE, sin entrar en la pretendida contradicción que alegan Castelnou Energía, S.L., y E.ON España, S.L., con los arts. 31.1 y 3 y 86.1 CE, no incluidos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la Sala de lo Contencioso-Administrativo de la Audiencia Nacional plantea la posible inconstitucionalidad de la forma de financiación de los planes de ahorro y eficiencia energética de los años 2011, 2012 y 2013 establecida en la disposición adicional tercera del Real Decreto-ley 14/2010; objeto que concuerda por entero con el de la cuestión núm. 6599-2013, resuelta recientemente por STC 167/2016, de 6 de octubre. El órgano judicial promotor es el mismo en ambas cuestiones y el Auto de planteamiento se encuentra redactado en los mismos términos, coincidiendo en su integridad tanto la norma impugnada como los preceptos constitucionales en juego, así como los argumentos esgrimidos por las partes en defensa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167/2016, de 6 de octubre, tras encuadrar la controversia en el ámbito de la regulación del sector eléctrico y de la contención del déficit tarifario, y a la vista de nuestra doctrina sobre el principio de igualdad, se ha razonado que, en cuanto a los dos primeros términos de comparación propuestos por la Sala (el resto de empresas del sector eléctrico y las demás productoras de electricidad, respectivamente), la medida enjuiciada no introduce una diferencia entre situaciones que puedan calificarse como homogéneas. Por lo que respecta al resto de empresas productoras de régimen ordinario, la selección de las once entidades obligadas a financiar los planes de ahorro y eficiencia energética tiene una justificación objetiva y razonable, respetando, asimismo, el canon de proporcionalidad exigible. Al haber concluido que la norma no quebranta el art. 14 CE, hemos descartado que pueda entenderse infringido el principio de interdicción de la arbitrariedad del art. 9.3 CE, toda vez que la medida enjuiciada se asienta en criterios objetivos, legítimos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íntegra remisión a lo resuelto en la citada STC 167/2016, se llega aquí a la misma conclusión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