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4037-2015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julio de 2015, la Procuradora de los Tribunales doña Isabel Alfonso Rodríguez, en nombre y representación de doña Ángela Berguillo Alguacil, don Carlos Munter Domec, don Rubén Molina Marín y don Francisco José Cobos García, interpuso recurso de amparo contra la Sentencia núm. 161/2015, de 17 de marzo, de la Sala Segunda del Tribunal Supremo, confirmada por Auto de 19 de mayo de 2015, de esa misma Sala, que desestimó el incidente de nulidad de actuaciones formulado contra aquella. La Sentencia que se impugna estimó el recurso de casación interpuesto por el Fiscal y, revocando la sentencia absolutoria de primera instancia dictada por la Sección Primera de la Sala de lo Penal de la Audiencia Nacional de 7 de julio de 2014, condenó a los ahora recurrentes y a otras de las personas acusadas en la instancia, como autores de un delito contra las instituciones del Estado del art. 498 del Código penal, a la pena a cada uno de tres años de prisión e inhabilitación especial para el derecho de sufragio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al amparo del art. 56 de la Ley Orgánica del Tribunal Constitucional (LOTC), la suspensión cautelar de la Sentencia, en concreto la pena privativa de libertad, que lleva aparejada penas de tres años de prisión, alegando que su ejecución produciría a los recurrentes un perjuicio irreversible que haría perder al amparo su finalidad así como la suspensión no causaría perjuicios a otros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28 de noviembre de 2016, acordó la admisión a trámite de la demanda de amparo y la formación de pieza separada para la tramitación del incidente sobre la suspensión solicitada, así como conceder a los recurrentes y al Ministerio Fiscal el plazo común de tres días para que alegasen lo que estimasen pertinente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9 de diciembre de 2016, la representación de los demandantes de amparo presentó ante este Tribunal su escrito de alegaciones reiterando los argumentos esgrimidos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15 de diciembre de 2016, presentó alegaciones en las que, tras hacer referencia a la jurisprudencia de este Tribunal sobre el particular, interesó que se accediera a la suspensión de la pena de prisión, atendiendo: (i) a la duración de la pena impuesta a los demandantes y el tiempo que requiere normalmente la tramitación de un proceso de amparo como el presente; (ii) al hecho de que los recurrentes hayan permanecido en libertad durante la tramitación del proceso de origen y de que los órganos judiciales hayan efectuado diversos pronunciamientos sobre su culpabilidad en las distintas instancias; (iii) a que no conste que recurrentes sean personas con antecedentes; y (iv) a la circunstancia, en relación con los posibles intereses de terceros que se verían afectados por la no ejecución de la pena de prisión, de que el principal afectado, el Parlamento de Cataluña, personado como acusación particular en la causa, haya apoyado, según los demandantes, la solicitud de indulto. Dicho lo cual, deja a criterio de este Tribunal la valoración de la necesidad de adoptar, en este momento procesal, la medida de suspensión si, como se indica en la propia demanda, subsiste la suspensión de ejecución de las penas acordadas por la Audiencia Nacional como consecuencia de estar pendiente la decisión sobre el indulto solicitado (art. 56.4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No obstante, el art. 56.2 LOTC dispone, a su vez,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doctrina de este Tribunal, “si la ejecución de una pena privativa de libertad no reviste carácter efectivo o actual por haber sido aplazada o suspendida, o por haber sido concedida la remisión condicional o la libertad condicional mediante resolución de los órganos judiciales competentes, no concurrirá el presupuesto del que parte el art. 56.2 LOTC, esto es, que la ejecución de la pena hubiere de ocasionar un perjuicio que haría perder al amparo su finalidad” (ATC 195/2016, de 28 de noviembre, FJ 1; en el mismo sentido AATC 116/2015, de 6 de julio, y 2/2016, de 18 de enero,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dichas pautas jurisprudenciales y legales, no puede accederse a la suspensión de la pena privativa de libertad solicitada por los recurrentes y apoyada por el Ministerio Fiscal. Por Auto de la Sala Primera de la Audiencia Nacional de 16 de junio de 2015, se acordó la suspensión de la ejecución de las penas privativas de libertad impuestas a los recurrentes a la espera de la tramitación el indulto solicitado. No concurre, entonces, el presupuesto establecido por el art. 56.2 LOTC, esto es, que la ejecución de la pena hubiere de ocasionar un perjuicio que haría perder al amparo su finalidad, pues la ejecución de las penas privativas de libertad impuestas se encuentran suspendidas. Todo ello con independencia de que la denegación de la suspensión pueda ser modificada en el curso del proceso constitucional si surgieren nuevas circunstancias (art. 57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