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131</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octubre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2557-2017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2557-2017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artículo 3, en la parte por la que se da nueva redacción a los artículos 621-1 a 621-54 (contrato de compraventa) y a los artículos 621-56 y 621-57 (contrato de permuta); del artículo 4, por el que se da nueva redacción a los artículos 622-21 a 622-42 del Código civil de Cataluña y del artículo 9, en tanto que introduce una disposición transitoria primera en el libro sexto del Código Civil de Cataluña, de la Ley 3/2017, de 15 de febrero, del libro sexto del Código civil de Cataluña, relativo a las obligaciones y los contratos, y de modificación de los libros primero, segundo, tercero, cuarto y quinto.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22 de mayo de 2017, el Abogado del Estado, en representación del Presidente del Gobierno, interpuso recurso de inconstitucionalidad contra el artículo 3 en la parte por la que se da nueva redacción a los artículos 621-1 a 621-54 (contrato de compraventa) y a los artículos 621-56 y 621-57 (contrato de permuta) del libro sexto del Código civil de Cataluña; el artículo 4, por el que se da nueva redacción a los artículos 622-21 a 622-42 del Código civil de Cataluña y el artículo 9, en tanto que introduce una disposición transitoria primera en el libro sexto del Código civil de Cataluña, de la Ley 3/2017, de 15 de febrero, del libro sexto del Código civil de Cataluña, relativo a las obligaciones y los contratos, y de modificación de los libros primero, segundo, tercero, cuarto y quinto. El Abogado del Estado invocó los artículos 161.2 CE y 30 de la Ley Orgánica del Tribunal Constitucional (LOTC), a fin de que se acordase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6 de junio de 2017 el Pleno, a propuesta de la Sección Tercera, acordó admitir a trámite el recurso de inconstitucionalidad promovido por el Presidente del Gobierno contra los referidos preceptos de la Ley de Cataluña 3/2017, de 15 de febrero, del libro sexto del Código civil de Cataluña, relativo a las obligaciones y los contratos, y de modificación de los libros primero, segundo, tercero, cuarto y quinto. Asimismo se acordó dar traslado de la demanda y documentos presentados, según prevé el artículo 34 LOTC, al Congreso de los Diputados y al Senado, por conducto de sus Presidentes, así como a la Generalitat y Parlamento de Cataluña, por conducto de sus Presidentes, al objeto de que, en el plazo de quince días, pudieran personarse en el proceso y formular las alegaciones que estimaren convenientes. Se acordó también tener por invocado por el Presidente del Gobierno el artículo 161.2 CE, lo que, conforme dispone el artículo 30 LOTC, produjo la suspensión de la eficacia de los preceptos impugnados, desde la fecha de interposición del recurso —22 de mayo de 2017— para las partes del proceso y desde el día en que aparezca publicada la suspensión en el “Boletín Oficial del Estado” para los terceros, lo que se comunicó a los Presidentes del Gobierno y del Parlamento de Cataluña, y publicar la incoación del recurso en el “Boletín Oficial del Estado” y en el “Diario Oficial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día 20 de junio de 2017, la Presidenta del Congreso de los Diputados comunicó a este Tribunal el acuerdo de la Mesa de la Cámara en el sentido de darse por personada en el proceso, ofreciendo su colaboración a los efectos del artículo 88.1 LOTC. Idéntica comunicación del Presidente del Senado se registró el 22 de junio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4 de julio de 2017 la Letrada del Parlamento de Cataluña se personó en este proceso constitucional y presentó sus alegaciones oponiéndose a la estimación del recurso de inconstitucionalidad, solicitando que se declarase la plena constitucionalidad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6 de julio de 2017 se personó el Abogado de la Generalitat de Cataluña, formuló alegaciones y solicitó la desestimación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por providencia de 11 de julio de 2017, acordó incorporar a los autos los anteriores escritos de 4 y 6 de julio de 2017 presentados, respectivamente, por el Parlamento y el Gobierno de Cataluña y, al estar próximo a finalizar el plazo de cinco meses que establece el artículo 161.2 CE desde que se produjo la suspensión del precepto impugnado en este recurso de inconstitucionalidad, acordó oír a las partes personadas para que, en el plazo de cinco días, expusieran lo que considerasen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18 de julio de 2017 el Abogado del Estado presentó sus alegaciones solicitando el mantenimiento de la suspensión de los preceptos impugnados. Tras exponer la doctrina constitucional sobre la resolución de este tipo de incidentes, analiza específicamente los perjuicios que causaría el levantamiento de la suspensión. El Abogado del Estado fundamenta sus alegaciones en el informe que, a estos efectos, elaboró la Secretaria General Técnica del Ministerio de Justicia de 16 de junio de 2017. Este informe ha sido aportado a las presentes actuaciones. El Abogado del Estado alega que, según el referido informe, el levantamiento de la suspensión afectaría a la seguridad jurídica de los titulares de derechos subjetivos y relaciones jurídicas civiles de carácter patrimonial y mercantiles (se considera que, en función del tipo y volumen de contratos de compraventa que se lleven a efecto pueden afectar también a este ámbito) que hayan podido surgir al amparo de los preceptos recurridos. Según se afirma, como el contrato de compraventa y de permuta que regulan los preceptos impugnados tienen un régimen jurídico distinto al establecido en el Código civil para ese tipo de contratos, por lo que en el caso de que se estimara el recurso y se declarase su inconstitucionalidad y nulidad el contenido de los derechos y obligaciones a los que pueden verse sujetos quienes celebraron esos contratos serían distintos de los que negociaron en su momento, lo que “afectaría a la seguridad de sus pretensiones, y por ende al principio de confianza en el ordenamiento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invoca “como parámetro de valoración” el artículo 129 de la Ley 39/2015, de 1 de octubre, de procedimiento administrativo común de las Administraciones Públicas, en el que se establece que, al regular los principios de buena regulación, establece que a fin de garantizar la seguridad jurídica la iniciativa normativa se ejercerá de manera coherente con el resto del ordenamiento.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Abogado del Estado señala que el informe del Ministerio de Justicia fundamenta el mantenimiento de la suspensión de los preceptos impugnados en “la seguridad preventiva”. Se considera que tanto el contrato de compraventa como el de permuta son dos instituciones jurídicas básicas del sistema hipotecario español al regular la transmisión de bienes inmuebles y la constitución, modificación y extinción de derechos reales sobre los mismos, de conformidad con lo dispuesto en el artículo 1 de la Ley hipotecaria. Entiende el Abogado del Estado que si accedieran al Registro de la Propiedad las transmisiones reguladas por los preceptos impugnados estarían accediendo titularidades o intereses “claudicantes”, cuya eficacia vendría determinada por la posible inconstitucionalidad de la norma. A su juicio, tal situación tendría como consecuencia que los terceros no pudieran confiar en las inscripciones del Registro, pues el contenido de los derechos y obligaciones que se reflejaran en el mismo podrían ser distintos en función de la ley a que estuvieran sometidos. Por ello, sostiene que tal situación afectaría a la figura del tercero hipotecario que reconoce el artículo 34 de la Ley hipotecaria y todo el sistema traslativo español, pues las transacciones que se hicieran no podrían contar con esa garantía.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alega que el levantamiento de la suspensión podría determinar que, en el caso de que se estimara el recurso de inconstitucionalidad, muchos de los negocios jurídicos celebrados al amparo de las normas impugnadas se resolvieran por nulidad, sin que los afectados por tales negocios pudieran invocar la buena fe con el fin de mantener las situaciones jurídicas creadas a su amparo, pues la existencia del recurso de inconstitucionalidad contra la preceptos aplicados pondría de manifiesto que la norma aplicada podía ser declarada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Abogado del Estado solicita que el Tribunal mantenga la suspensión de los preceptos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Letrada del Parlamento de Cataluña, por escrito de registrado el 24 de julio de 2017, formuló alegaciones por las que solicita el levantamiento de la suspensión de los preceptos impugnados en el presente recurso de inconstitucionalidad. Alega, en primer lugar, que, como el Abogado del Estado interesó la suspensión al amparo del artículo 161.2 CE, lo que conlleva la suspensión automática de la eficacia de los artículos recurridos, y no conoce los motivos en los que el Abogado del Estado va a fundamentar su petición de mantenimiento de la suspensión, caso de que inste esta medida, sus alegaciones no pueden tener como objeto desvirtuar los argumentos que pueda aducir el Abogado del Estado en este incidente. La representante del Parlamento de Cataluña invoca la doctrina constitucional en la que se sostiene que la presunción de legitimidad de las leyes determina que la suspensión de su eficacia sea una medida excepcional que solo cabe adoptarla cuando existan sólidos argumentos que la justifiquen. También sostiene que estos argumentos, según ha establecido este Tribunal, debe aportarlos el Gobierno del Estado que es a quien corresponde acreditar que los perjuicios que ocasionaría el levantamiento de la suspensión de los preceptos impugnados en este recurso. Junto a ello alega que también es doctrina constitucional (invoca el ATC 189/2001, de 3 julio, FJ 2) que la verosimilitud de los perjuicios alegados no puede quedar condicionada a la necesidad de proceder al análisis de fondo del asunto. Por último, cita el ATC 44/2011, de 12 de abril, FJ 2, en el que se establece que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ATC 105/2010, de 29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Letrada del Parlamento entiende que en este caso el levantamiento de la suspensión no puede comportar perjuicios de ningún tipo, pues los preceptos recurridos, a tenor de lo dispuesto en la disposición final novena de la Ley, no entrarán en vigor hasta el 1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solicita que se acuerde el levantamiento de la suspensión de los preceptos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24 de julio de 2017 el Abogado de la Generalitat de Cataluña formuló alegaciones. Tras citar la doctrina constitucional establecida en relación con este incidente alega que, al haberse acordado la suspensión en virtud de lo dispuesto en el artículo 161.2 CE y no conocer las alegaciones en las que el Abogado del Estado puede fundamentar el mantenimiento de la suspensión acordada, caso de que lo solicite, se ve obligado a formular sus consideraciones de modo genérico, que, a su juicio, es, a su vez, el planteamiento de la demanda. Según se alega, en el recurso se plantean cuestiones generales en materia de competencia legislativa, pero propiamente no se entra a analizar el contenido concreto de los preceptos impugnados. Considera el Abogado de la Generalitat que el contenido de la nueva regulación contractual sobre la compraventa, la permuta, el mandato y la gestión de asuntos ajenos sin mandato aprobado por la Ley 3/2017 es considerado inconstitucional por incompetencia del Parlamento catalán para dictarlo como derecho civil de aplicación en Cataluña sin detenerse en analizar la conexión de esta regulación con las instituciones y principios jurídicos del derecho civil catalán preexistente. En su opinión, este enfoque del recurso no justifica la drástica medida de mantener la suspensión de los preceptos recurridos, pues, según sostiene, “su aplicación no ha de empañar los efectos de la Sentencia que en su día se dicte”.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sostiene el Abogado de la Generalitat que la regulación de determinados contratos que se establece en la Ley 3/2017 es en gran parte de tipo dispositivo y, por tanto, su contenido dependerá de lo que decidan las partes al respecto. De ahí que considere que, en este contexto, mantener la suspensión carece de sentido.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los perjuicios que la aplicación de los preceptos recurridos pudiera ocasionar, se alega que es al Abogado del Estado a quien le corresponde acreditarlos. No obstante, se indica también que la aplicación de la nueva regulación catalana de contratos como la compraventa o el mandato no va a suponer ningún cambio conceptual importante, pues se limita a regular tipos contractuales perfectamente conocidos y consolidados desde hace siglos, a los que añade nuevos matices, actualizando y haciendo más operativa la regulación. Según se aduce, el denominador común que une los ordenamientos civiles catalán, español y europeo hace que la aplicación de la Ley catalana 3/2107 no pueda provocar perjuicios graves al interés general. Asimismo se sostiene que las normas referentes a la compraventa de consumo no comportan la introducción de ninguna distorsión en el ordenamiento jurídico porque estas normas son transposición de las directivas europeas.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alega que en el presente caso se da la circunstancia de que, en virtud de lo dispuesto en la disposición final novena de la Ley 3/2017, los preceptos recurridos no entran en vigor hasta el 1 enero de 2018, por lo que la regulación impugnada no es todavía aplicable. También se indica que esta circunstancia hace que el Tribunal pueda resolver las cuestiones de fondo planteadas en el recurso antes de que los preceptos impugnados entren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consideraciones expuestas llevan a la Generalitat a solicitar el levantamiento de la suspensión de los preceptos impugnados en el presente recurso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eficacia del artículo 3, en la parte por la que se da nueva redacción a los artículos 621-1 a 621-54 (contrato de compraventa) y a los artículos 621-56 y 621-57 (contrato de permuta) del libro sexto del Código civil de Cataluña; el artículo 4, por el que se da nueva redacción a los artículos 622-21 a 622-42 del Código civil de Cataluña y el artículo 9, en tanto que introduce una disposición transitoria primera en el libro sexto del Código civil de Cataluña, de la Ley 3/2017, de 15 de febrero, del libro sexto del Código civil de Cataluña, relativo a las obligaciones y los contratos, y de modificación de los libros primero, segundo, tercero, cuarto y quinto. Al haber invocado el Presidente del Gobierno el artículo 161.2 CE en el recurso de inconstitucionalidad que interpuso contra los referidos preceptos, la admisión a trámite del recurso determinó la suspensión de la eficacia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advertir que, en virtud de lo dispuesto en la disposición final novena de la Ley 3/2017, de 15 de febrero, los preceptos impugnados no entran en vigor hasta el 1 de enero de 2018. La situación de vacatio legis en la que se encuentran estas normas no impidió al Tribunal acordar su suspensión en la providencia de 6 de junio de 2017 ni le exime ahora de efectuar un pronunciamiento sobre la ratificación o levantamiento de la suspensión acordada en la referida providencia. De acuerdo con lo establecido el artículo 161.2 CE, “[l]a impugnación producirá la suspensión de la disposición o resolución recurrida, pero el Tribunal, en su caso, deberá ratificarla o levantarla en un plazo no superior a cinco meses”. Y para ello solo es preciso que el Presidente del Gobierno invoque en la demanda expresamente el artículo 161.2 CE. No es necesario, por tanto, que la norma que se recurra haya entrado en vigor para que pueda suspenderse.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la entrada en vigor de la norma determina que la regulación contenida en la misma resulte aplicable y tenga fuerza de obligar, por lo que solo tras su vigencia tendrá eficacia erga omnes. No obstante, de ello no cabe deducir que hasta ese momento carezca de toda eficacia. Su propia existencia tiene como efecto su integración en el ordenamiento jurídico, lo que conlleva que, aunque todavía su regulación no pueda ser aplicada a todos sus destinatarios ni, en consecuencia, sus previsiones puedan ser exigidas, los poderes públicos deban adoptar las medidas necesarias para que cuando la norma entre en vigor pueda desplegar todos sus efectos. Debe tenerse en cuenta, además, que la norma, una vez publicada, aunque no haya entrado en vigor, es ya parte del ordenamiento jurídico, por lo que puede ser tomada en consideración por los aplicadores del Derecho y de ello pueden derivarse también algunos efectos jurídicos indirectos, como puede ser su utilización como criterio interpretativo de otras disposiciones o actos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la circunstancia de que en este momento los preceptos recurridos no hayan entrado todavía en vigor no determina que este incidente carezca de objeto, pues, como acaba de indicarse, estos preceptos, al ser parte del ordenamiento jurídico, aunque se encuentren en vacatio legis, son susceptibles de producir algunos efectos y son, precisamente, estos efectos a los que afecta la decisión relativa a la suspensión. Esto se entiende sin perjuicio de que en el momento en el que la norma entre en vigor y, por tanto, tenga eficacia plena, en el caso de que en esa fecha todavía se encuentre pendiente de resolución el presente recurso, esta decisión incida también sobre los efectos que se deriven de su vigencia.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afirma, entre otros muchos, en el ATC 169/2016, de 4 de octubre, FJ 2, existe una consolidada doctrina constitucional en relación con este tipo de incidentes de suspensión. Según esta doctrina, “para decidir si procede o no ratificar dentro del plazo de cinco meses que establece el artículo 161.2 CE la suspensión de la Ley autonómica impugnada en un recurso de inconstitucionalidad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modo, este Tribunal ha establecido reiteradamente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(arts. 161.2 CE y 30 de la Ley Orgánica del Tribunal Constitucional: LOTC), no sólo invoque la existencia de aquellos perjuicios, sino que demuestre o, al menos, razone consistentemente su procedencia y la imposible o difícil reparación de los mismos, pues debe partirse en principio de la presunción de constitucionalidad de las normas objeto de recurso (entre otros, AATC 100/2002, de 5 de junio, FJ 2; 355/2007, de 24 de julio, FJ 2; 225/2009, de 10 de diciembre, FJ 2; 44/2011, de 12 de abril, FJ 2; 86/2012, de 8 de mayo, FJ 2; 122/2015, de 7 de julio, FJ 2, y 169/2016, de 4 de octubre,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 ha indicado en los antecedentes de esta resolución, el Abogado del Estado considera que ha de mantenerse la suspensión de los preceptos impugnados en este proceso constitucional. Según se aduce, el levantamiento de la suspensión afectaría a la seguridad jurídica, pues en el caso de que se estimara el recurso y los preceptos impugnados fueran anulados, las relaciones jurídicas que se ampararan en los mismos se regirían por normas distintas de las que se tuvieron en cuenta cuando se celebraron los contratos. Tal circunstancia, en opinión del Abogado del Estado, conllevaría una gran inseguridad jurídica para los titulares de los derechos y obligaciones que surgieran como consecuencia de la aplicación de estas normas y afectaría al principio de confianza legítima.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ello se sostiene también que el levantamiento de la suspensión afectaría al sistema hipotecario español. El Abogado del Estado considera que si accedieran al Registro de la Propiedad los actos o contratos amparados por los preceptos impugnados, al tratarse de negocios jurídicos celebrados en virtud de normas que han sido objeto de un recurso de inconstitucionalidad, el régimen de derechos y obligaciones derivado de los mismos podría verse afectado en el caso de que el recurso se estimara y se declarase la inconstitucionalidad de la ley a la que se encontraban sometidos. Esta circunstancia afectaría —a juicio del Abogado del Estado— a la figura del tercero hipotecario [art. 34 de la Ley hipotecaria (LH)], lo que determinaría, a su vez, que el sistema traslativo español se viera gravemente perturbado al no poder confiar en los pronunciamientos registrales.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Generalitat y el Parlamento de Cataluña solicitan el levantamiento de la suspensión. El Parlamento de Cataluña, tras exponer la doctrina constitucional relativa a este tipo de incidentes, aduce que en este caso el levantamiento de la suspensión no puede ocasionar perjuicios de ningún tipo, ya que, de acuerdo con lo previsto en la disposición final novena de la Ley del Parlamento de Cataluña 3/2017, de 15 de febrero, los preceptos impugnados no entran en vigor hasta el 1 de enero de 2018. La misma alegación formula también la Generalitat de Cataluña. Junto a ello aduce también la Generalitat que la regulación impugnada tiene, en su mayor parte, carácter dispositivo y por ello entiende que, al ser una regulación que es asumida por las partes en ejercicio de su autonomía de la voluntad, carecería de efectos prácticos mantener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Ha de señalarse, en primer lugar, que, como acaba de indicarse, la circunstancia de que los preceptos recurridos en este proceso no hayan todavía entrado en vigor no priva de objeto al presente incidente ni tampoco determina que, por este motivo, haya de levantarse la suspensión acordada en la providencia por la que el presente recurso se admitió a trámite en virtud de lo dispuesto en el artículo 161.2 CE y 30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los perjuicios a la seguridad jurídica que, según afirma el Abogado del Estado, justificarían el mantenimiento de la suspensión, debe tenerse en cuenta la consolidada doctrina constitucional en la que se sostiene que los daños que pudieran producirse a la seguridad jurídica, “derivados de la confluencia entre una regulación estatal y otra autonómica son una consecuencia inherente a toda situación de pendencia de un recurso de inconstitucionalidad y consustanciales, por tanto, al funcionamiento del Estado de las Autonomías y a la coexistencia del ordenamiento estatal con los ordenamientos autonómicos”. De ahí que este Tribunal haya sostenido que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(entre otros muchos, AATC 156/2008, de 12 de junio, FJ 4; 60/2013, de 26 de febrero, FJ 5; 153/2014, de 27 de julio, FJ 3, y 18/2017, de 31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como se ha puesto de manifiesto, el Abogado del Estado fundamenta estos perjuicios en que, como los contratos de compraventa y permuta que regulan los preceptos impugnados tienen un régimen jurídico distinto al establecido en el Código civil, si estos preceptos fueran anulados por apreciarse su inconstitucionalidad, los derechos y obligaciones que derivasen de los mismos podrían verse afectados y podrían ser distintos de los que negociaron en su momento. Esta argumentación, sin embargo, no permite apreciar que, en el caso de que se produjera esta circunstancia, de la misma se fueran a derivar perjuicios irreparables. La mera alegación de que el régimen jurídico de estos contratos pudiera verse afectado en el supuesto de que se estimara la inconstitucionalidad de los preceptos recurridos no permite llegar a la conclusión de que tal afectación ocasionaría a los titulares de derechos u obligaciones derivados de los negocios jurídicos que hubieran podido celebrarse al amparo de los mismos unos perjuicios de difícil o imposible reparación. Como se ha indicado, los daños que pudieran ocasionarse a la seguridad jurídica como consecuencia de la duplicidad normativa que conlleva la existencia de un recurso de inconstitucionalidad es consustancial al funcionamiento de un Estado compuesto como el nuestro y a la coexistencia del ordenamiento estatal con los ordenamientos autonómicos (entre otras muchas, STC 140/2016, de 5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modo, tampoco cabe apreciar que el levantamiento de la suspensión pueda afectar a lo que el Abogado del Estado denomina “seguridad preventiva”, esto es, al correcto funcionamiento del sistema hipotecario español. La posibilidad de que se declaren inconstitucionales los preceptos recurridos y que, como consecuencia de ello, los actos y contratos celebrados al amparo de los mismos puedan resolverse en nada afecta al correcto funcionamiento del sistema hipotecario. La publicidad que ofrece el Registro de la Propiedad no puede verse perjudicada porque puedan declararse inconstitucionales normas al amparo de la cuales han podido dictarse actos o contratos inscritos en el mismo. Tampoco puede apreciarse que el levantamiento de la suspensión afecte a la figura del tercero hipotecario que reconoce el artículo 34 LH. Las consecuencias que pudiera tener la declaración de inconstitucionalidad de los preceptos impugnados, caso de que el presente recurso llegara a estimarse, en los negocios jurídicos inscritos en el Registro de la Propiedad que se hubieran celebrado en aplicación de los mismos es una cuestión ajena al principio de buena fe registral que el referido precepto consagra.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tenerse en cuenta, por otra parte, que la declaración de inconstitucionalidad de una norma puede afectar a los actos dictados en su aplicación, por lo que para poder justificar en este motivo el mantenimiento de la suspensión no basta con alegar, como hace el Abogado del Estado, que los negocios jurídicos celebrados al amparo de estos preceptos pudieran verse afectados si este recurso se estima, sino que hubiera debido justificar que en este caso la eficacia de los preceptos impugnados podría conllevar, en el supuesto de que posteriormente fueran declarados inconstitucionales, perjuicios de difícil o imposible reparación para los titulares de las relaciones jurídicas creadas a su amparo. El Abogado del Estado, sin embargo, lo único que alega, como se ha indicado, es que la declaración de inconstitucionalidad de las normas impugnadas podría conllevar la nulidad de los negocios jurídicos celebrados a su amparo, pero ni expone las razones en las que fundamenta tal consecuencia, ni explica las razones por las que considera que los perjuicios que de ello pudieran derivarse pudieran ser irreparables o de muy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daños a la seguridad jurídica que pueda ocasionar la pendencia de este proceso constitucional son, por tanto, los que se derivan de cualquier impugnación, por lo que no justifican el mantenimiento de la suspensión de la eficacia de los preceptos recurridos. Como ha sostenido reiteradamente este Tribunal, “la suspensión solamente procede en presencia de perjuicios ciertos y efectivos, en ausencia de los cuales ha de atenderse a la presunción de validez propia de las Leyes” (AATC 156/2008, de 12 de junio, FJ 3; y 54/2016, de 1 de marzo, FJ 6, y 63/2017, de 25 de abril, FJ 3, entre otros). Y en este caso el Abogado del Estado, sobre el que pesa la carga de acreditar la existencia de los perjuicios y la imposible o difícil reparación de los mismos, no ha argumentado que los perjuicios en los que fundamenta el mantenimiento de la suspensión tienen la gravedad y la consistencia necesarios como para prevalecer sobre la presunción de constitucionalidad de las normas impugnadas.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artículo 3, en la parte por la que se da nueva redacción a los artículos 621-1 a 621-54 (contrato de compraventa) y a los artículos 621-56 y 621-57 (contrato de permuta); del artículo 4, por el que se da nueva redacción a los artículos 622-21 a 622-42 del Código civil de Cataluña y del artículo 9, en tanto que introduce una disposición transitoria primera en el libro sexto del Código Civil de Cataluña, de la Ley 3/2017, de 15 de febrero, del libro sexto del Código civil de Cataluña, relativo a las obligaciones y los contratos, y de modificación de los libros primero, segundo, tercero, cuarto y quinto.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octubre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