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junio de 2017, el Procurador de los Tribunales don Antonio Esteban Sánchez, en nombre y representación de don Pablo Pavón Cadierno, y bajo la dirección del Letrado don Ignacio Gordillo Álvarez Valdés y de la Letrada doña Ana Blanco Vázquez de Prada, interpuso recurso de amparo contra el Auto de la Sala de lo Penal del Tribunal Supremo de 4 de mayo de 2017, por el que se desestima el incidente de nulidad de actuaciones interpuesto contra la Sentencia núm. 983/2016, de 11 de enero de 2017 —aclaradas por Auto de 7 de febrero de 2017—, por las que se estima el recurso de casación núm. 722-2016 interpuesto contra la Sentencia de la Sección Trigésima de la Audiencia Provincial de Madrid núm. 61/2916, de 19 de febrero de 2016, dictada en el procedimiento abreviado núm. 313-2015, y se condena al recurrente por un delito de desórdenes públicos en concurso ideal con impedimento del derecho de reunión con la agravante de obrar por motivos de discriminación ideológica a la pena de prisión de dos años y diez meses con la accesoria de inhabilitación especial para el derecho de sufragio pasivo durante el periodo de la condena; por un delito de daños ocasionados en bienes de propiedad pública con la agravante de obrar por motivos discriminatorios ideológicos y la atenuante de reparación del daño a la pena de prisión de un año y un mes y multa de catorce meses con cuota diaria de 10 € y responsabilidad personal subsidiaria en caso de impago de la multa de un día de privación de libertad por cada dos cuotas de la multa no abonadas; al pago de las 2/79 partes de las costas del juicio, incluidas las de las acusaciones particulares; y al pago conjunto y solidario de responsabilidades civiles en las cantidades de 1.372,14 € y 94,2 € para dos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argumentando que de la ejecución se derivan perjuicios irreparables si se estima el recurso de amparo, siendo inexistentes los perjuicios para terceros o 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probados en que se fundamenta la condena cuya suspensión se solicita fueron que el 11 de septiembre de 2013, la Delegación del Gobierno de la Generalitat de Cataluña ante el Gobierno del Estado organizó un acto oficial para celebrar la Diada en el centro cultural Blanquerna, propiedad de la Generalitat. El acto comenzaba a las 19:30 horas y su celebración se difundió por las redes sociales. Un grupo de personas afiliadas o simpatizantes de Democracia Nacional, Falange, Nudo Patriota Español y Alianza Nacional convocó una protesta, para lo que convinieron reunirse en la puerta del citado centro. Se congregaron unas 200 personas y cuando el Delegado de la Generalitat se dirigía al atril para tomar la palabra y presentar el acto, accedió al local un grupo de las personas que estaban congregadas afuera, entre ellas el recurrente. Con la finalidad de impedir la celebración del acto, actuando de forma conjunta, accedieron en tropel a la planta a pie de calle, donde se encuentra la librería abierta al público, y rompieron la puerta automática de cristal de entrada causando daños tasados en 1.372,14 €. Desde ella descendieron por las escaleras a la planta inferior, donde se iba a desarrollar el acto, coreando “no nos engañan Cataluña es España”. El grupo se fue abriendo paso hacia el atril entre los asistentes, que se apartaban, pero en un instante empujaron y derribaron al suelo a uno de los asistentes, diputado en el Congreso de los Diputados, sin que constara que conocieran su identidad. En el estrado uno de los condenados arrojó al suelo de un manotazo la señera, otro golpeó el micrófono situado en el atril y otro de los condenados arrojó al suelo el atril, ante el que se mantenía el Delegado de la Generalitat, cuya identidad desconocía, y a él se dirigió con insultos relativos a su condición de catalán y amenazas de muerte, que le obligaron a retroceder. Otro de los asistentes fue escupido y recibió una patada. Tras poco más de un minuto, el grupo abandonó el local. Uno de sus integrantes arrojó un espray irritante que provocó picores, irritación, náuseas y otros menoscabos en los asistentes, lo que obligó a suspender el acto. Cuando el grupo estaba saliendo de la sala, otro de los condenados dio un manotazo a la cámara con la que grababa el acto un trabajador de TV3, que al impactar contra su cuerpo le obligó a efectuar un movimiento brusco que le produjo contusión postraumática en el hombro derecho, de la que curó en nueve días con una primera asistencia facultativa.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entre otros motivos, las vulneraciones del derecho a la tutela judicial efectiva (art. 24.1 CE), y a la presunción de inocencia (art. 24.2 CE), por haberse producido una agravación de la condena en segunda instancia en ausencia de inmediación y sin oír al recurrente y haberse apreciado la concurrencia del elemento subjetivo o dolo.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16 de noviembre de 2017, acordó la admisión a trámite de la demanda de amparo, apreciando que concurre en el mismo una especial trascendencia constitucional (art. 50.1 de la Ley Orgánica del Tribunal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la formación de pieza separada para la tramitación del incidente sobre la suspensión solicitada, concediendo al recurrente y al Ministerio Fiscal el plazo común de tres días naturales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20 de noviembre de 2017, presentó alegaciones en las que, enunciando la jurisprudencia de este Tribunal sobre el particular, interesó la suspensión de la penas privativas de libertad y accesorias de derechos. Argumenta que la denegación de la suspensión causaría al recurrente un perjuicio irreparable o de muy difícil restitución que podría hacer perder al amparo su finalidad por tratarse de unas penas que acumuladas no superan los cinco años de prisión y que no cabe apreciar una perturbación grave a los intereses generales o derechos fundamentales o libertades públicas de un tercero, más allá del genérico que toda inejecución de una resolución judicial supone, constatándose la circunstancia de arraigo a los efectos de valorarse el posible interés en sustraerse a la acción de la justicia. Por el contrario, considera que no debe accederse a suspender la condena a las penas de multa y al pago de las costas procesales por su carácter de consecuencia jurídica de carácter económico que son susceptibles de reparación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registrado el 17 de noviembre de 2017, presentó alegaciones reiterando la solicitud de suspensión por los razonamientos expresados en la demanda de amparo, si bien limitado a la condena de la pena privativa de libertad y accesoria de derechos.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analizar la solicitud de suspensión de la ejecución de la segunda Sentencia de la Sala de lo Penal del Tribunal Supremo núm. 983/2016, de 11 de enero de 2017 —aclarada por Auto de 7 de febrero de 2017—, en lo relativo a las penas privativas de libertad que se imponen al recurrente, únicas cuya suspensión ha sido solicitada. En dicha Sentencia las consecuencias jurídicas impuestas al recurrente han sido (i) la pena de prisión de dos años y diez meses con la accesoria de inhabilitación especial para el derecho de sufragio pasivo durante el periodo de la condena por la comisión de un delito de desórdenes públicos en concurso ideal con impedimento del derecho de reunión con la agravante de obrar por motivos de discriminación ideológica; (ii) la pena de prisión de un año y un mes y multa de catorce meses con cuota diaria de 10 € y responsabilidad personal subsidiaria en caso de impago de la multa de un día de privación de libertad por cada dos cuotas de la multa no abonadas por la comisión de un delito de daños ocasionados en bienes de propiedad pública con la agravante de obrar por motivos discriminatorios ideológicos y la atenuante de reparación del daño; (iii) el pago de las 2/79 partes de las costas del juicio, incluidas las de las acusaciones particulares; y (iv) el pago conjunto y solidario de responsabilidades civiles en las cantidades de 1.372,14 € y 94,2 € para dos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la Ley Orgánica del Tribunal Constitucional (LOTC) dispone que la interposición de un recurso de amparo no suspenderá los efectos del acto o Sentencia impugnados, concretando el artículo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94/2015, de 25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El carácter prevalente y especialmente preciado de este derecho impone que cualquier decisión respecto de la suspensión de la ejecución efectiva de cualquier restricción, limitación y privación del mismo deba ser adoptada con un singular cuidado y respeto al principio de proporcionalidad en atención a que “la libertad constituye un derecho cuya naturaleza convierte el perjuicio irrogado en irreparable, en caso de estimarse el amparo una vez cumplida parcial o totalmente la pena” (ATC 291/2014, de 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ese modo, este Tribunal ha establecido que en el marco de los recursos de amparo la decisión que debe adoptar de suspensión de las resoluciones judiciales que imponen penas privativas de libertad constituye un juicio complejo en que hay que tomar en consideración diversos factores como son (i) la gravedad y naturaleza de los hechos enjuiciados en atención al bien jurídico protegido y su trascendencia social; (ii) la duración de la pena impuesta; (iii) el tiempo que reste de cumplimiento de la misma; y (iv) la concurrencia de riesgos sobre la efectividad de la acción de la Justicia y la posible desprotección de las víctimas. Entre estos factores, este Tribunal ha destacado que tiene especial relevancia el referido a la duración de la pena impuesta, pues es un criterio que expresa de forma sintética la reprobación que el ordenamiento asigna al hecho delictivo —la importancia del bien jurídico tutelado, la gravedad y trascendencia social del delito— y, en consecuencia, la magnitud del interés general en su ejecución. Así, este Tribunal ha adoptado como una directriz general que la pena se sitúe por encima o por debajo de la frontera de los cinco años de prisión, por ser el límite que ha establecido el propio legislador penal para diferenciar entre las penas graves y las menos graves (art. 33 del Código penal); así, por ejemplo, AATC 52/2017, de 18 de abril, FJ 1, o 35/2017, de 27 de febrero, FJ 2. Del mismo modo, este Tribunal también ha afirmado que la suspensión de la pena privativa de libertad debe conllevar la suspensión de las penas accesorias de inhabilitación que lleven a aparejadas (AATC 52/2017, de 18 de abril, FJ 1, o 49/2016, de 29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 acuerdo con lo también defendido por el Ministerio Fiscal, concurren los requisitos que exige la jurisprudencia constitucional para otorgar la suspensión de la ejecución en cuanto a las penas privativas de libertad y las penas accesorias a las establecidas legalmente para la imposición de las penas privativas de libertad. Su ejecución puede ocasionar al recurrente perjuicios irreparables que harían perder al amparo su finalidad tanto por afectar al valor fundamental de la libertad como porque el resto de circunstancias concurrentes en el caso permiten apreciar que la suspensión no ocasiona una perturbación grave a un interés constitucionalmente protegido ni a los derechos fundamentales o libertades públicas de otra persona. Al margen de la perturbación de la función jurisdiccional que en sí mismo entraña la suspensión de la ejecución de una resolución judicial, no se acreditan riesgos ciertos sobre la efectividad de la acción de la Justicia, ya que el recurrente ha estado a plena disposición de los órganos judiciales, que no adoptaron ninguna medida cautelar de naturaleza personal durante la tramitación de la causa que permita ahora concluir que el eventual aplazamiento en el cumplimiento de la pena que implica una suspensión mientras se tramita el recurso de amparo pueda hacer ineficaz el pronunciamiento condenatorio en caso de ser rechazado el recurso de amparo. También consta que se ha hecho frente al pago de las responsabilidades civiles fijadas y hubo lugar a la aplicación de la atenuación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garantizar la efectividad del cumplimiento de la pena se procederá en el plazo más breve a resolver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