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22 de febrero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681-2015, promovido por 89 diputados del Grupo Parlamentario Socialista del Congreso de los Diputados contra las disposiciones legales que, a continuación se relacionan: 1) Artículo 1.2 de la Ley 21/2014, de 4 de noviembre, por la que se modifica el texto refundido de la Ley de propiedad intelectual, aprobado por Real Decreto Legislativo 1/1996, de 12 de abril, y la Ley 1/2000, de 7 de enero, de enjuiciamiento civil, en las modificaciones que realiza del artículo 25.1, párrafo segundo en cuanto dispone “dicha compensación, con cargo a los Presupuestos Generales del Estado, estará dirigida a compensar los derechos de propiedad intelectual que se dejaran de percibir por razón del límite legal de copia privada” y del artículo 25.1, párrafo tercero, inciso “y contará con una consignación anual en la Ley de Presupuestos Generales del Estado”, ambos del texto refundido de la Ley de propiedad intelectual, aprobado por Real Decreto Legislativo 1/1996, de 12 de abril. 2) La Ley 36/2014, de 26 de diciembre, de presupuestos generales del Estado para el año 2015, en cuanto a la aprobación del crédito presupuestario 18.321M.13.484 y 3) Los apartados segundo y tercero de la disposición adicional primera de la Ley 21/2014, de 4 de noviembre, y, en conexión con estos, el artículo primero, apartado decimotercero de la Ley 21/2014, de 4 de noviembre, en la redacción que da a la letra d) del artículo 154.5 de la Ley de propiedad intelectual, así como el párrafo segundo del mencionado artículo 154.5; y el artículo primero, apartado decimosexto de la Ley 21/2014, de 4 de noviembre, en la redacción que da a la letra e) del artículo 157.1 de la Ley de propiedad intelectual. Ha intervenido el Abogado del Estado. Ha sido Ponente el Magistrado don Antonio Narváez Rodríguez,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medio de escrito presentado el día 4 de febrero de 2015 en el registro general de este Tribunal por 89 diputados del Grupo Parlamentario Socialista en el Congreso de los Diputados ha sido promovido el recurso de inconstitucionalidad núm. 681-2015 contra diversos preceptos de la Ley 21/2014, de 4 de noviembre, que modificaron el texto refundido de la Ley de propiedad intelectual, aprobado por Real Decreto Legislativo 1/1996, de 12 de abril y la Ley 1/2000, de 7 de enero, de enjuiciamiento civil, así como contra la Ley 36/2014, de 26 de diciembre, de presupuestos generales del Estado para el año 2015, en lo que se refiere a la aprobación del crédito presupuestario 18.321M.13.484.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concretamente, el recurso tiene por objeto, de una parte, la impugnación del artículo primero, apartado segundo de la Ley 21/2014, de 4 de noviembre, que ha modificado el artículo 25 del texto refundido de la Ley de propiedad intelectual, siendo, en concreto, objeto del recurso el párrafo segundo del apartado primero de aquel, que dispone que “dicha compensación, con cargo a los Presupuestos Generales del Estado, estará dirigida a compensar los derechos de propiedad intelectual que se dejaran de percibir por razón del límite legal de copia privada”. Y, de otro lado, también es impugnado un inciso contenido en el artículo 25, apartado tercero, de la misma Ley, con el siguiente tenor literal: “y contará con una consignación anual en la Ley de Presupuestos Generales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se extiende, también, a la impugnación de la Ley 36/2014, de 26 de diciembre, de presupuestos generales del Estado para el año 2015, en cuanto a la aprobación del crédito presupuestario 18.321M.13.484.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por último, se refiere a los apartados segundo y tercero de la disposición adicional primera de la antedicha Ley 21/2014, de 4 de noviembre, y, en conexión con aquellos, el artículo primero, apartados decimotercero y decimosexto de la misma Ley 21/2014, en las redacciones que, respectivamente, introducen en las letras d) y segundo párrafo del artículo 154.5, así como la letra e) del artículo 157.1, ambos de la Ley de propiedad intelectual.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puede deducirse de la relación de preceptos impugnados de la Ley 21/2014, la demanda impugna la constitucionalidad del sistema de remuneración por copia privada, dentro del marco jurídico de la propiedad intelectual, que ha introducido la Ley 21/2014, y que consiste en sufragar el pago de la citada compensación con cargo a los presupuestos generales del Estado. Para los recurrentes el nuevo modelo convierte al Estado y, por ello, a todos los contribuyentes, en el único deudor de la compensación equitativa por copia privada, toda vez que cuantifica ex lege y a priori el importe de la remuneración que se puede abonar a los autores y no el que se les debe realmente satisfacer, en función del perjuicio causado.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hacer un repaso de la doctrina constitucional y de realizar algunas consideraciones previas sobre el derecho de propiedad en general y sobre el de propiedad intelectual en particular, así como de recordar la doctrina de la Unión Europea respecto a la remuneración por copia privada, los recurrentes afirman que la modificación legal impugnada supone pasar de (i) un sistema de remuneración compensatoria, con contenido indemnizatorio, que debía ser abonado por los fabricantes, importadores y distribuidores de equipos y aparatos idóneos para la reproducción, con repercusión final en el precio de los productos y, por lo tanto, en el usuario final, a (ii) un sistema de remuneración compensatoria, sin contenido indemnizatorio al estar fijada su cuantía a tanto alzado, con cargo a los presupuestos generales del Estado y sin posibilidad de repercusión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destacan los recurrentes, esta modificación del sistema de compensación convierte en gasto público una obligación jurídico-privada, socializando una carga privada que no tiene fundamento en ninguna norma o principio del derecho europeo o del ordenamiento jurídico nacional, lo que, en el parecer de los demandantes, conduce a entender que el modelo legal impuesto violente, tanto el artículo 33 como el artículo 31, ambos de la Constitución Española, siendo además incompatible con los mandatos del Derecho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base en tal argumento, el recurso de inconstitucionalidad se estructura en dos bloques: el primero relativo a la lesión del derecho de propiedad y de los principios de justicia tributaria y capacidad económica (arts. 33 y 31 CE) por el contenido y alcance de la regulación sobre la compensación equitativa por copia privada, introducida por la Ley 21/2014, dado que se adopta un modelo que obliga a su pago a todos los contribuyentes. Y, en segundo lugar, sobre la eventual lesión del derecho fundamental de asociación (art. 22 CE), que comporta la adopción del modelo de ventanilla única respecto a las entidades de gestión de los derechos de propiedad intelectual. El desarrollo argumental de ambos bloques de impugnación se detalla,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Respecto de la primera alegación se sostiene que la compensación equitativa por copia privada del artículo 25 del texto refundido de la Ley de propiedad intelectual en la redacción proporcionada por la Ley 21/2014 recurrida, ha despojado a la propiedad intelectual de su contenido esencial, hasta el punto de que llega a sancionar una “expropiación legislativa”. Para los recurrentes, la justificada obligación que pesaba sobre los fabricantes, importadores y distribuidores de resarcir a los titulares de derechos de propiedad intelectual por las copias de sus obras que realizaban los particulares, mediante el uso de equipos y aparatos idóneos para la reproducción, así como su repercusión final en el precio de los productos adquiridos por el usuario final beneficiario de la copia, ha transformado en gasto público lo que hasta entonces era una obligación privada.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además, la partida presupuestaria consignada en los presupuestos generales del Estado de 2015, simultáneamente recurrida, vacía de contenido patrimonial los derechos de propiedad intelectual, pues la cantidad que se consigne en los presupuestos generales del Estado se realiza como una previa cuantificación del futuro perjuicio que se pueda causar a los titulares del derecho de propiedad intelectual por la realización de copias privadas, operando tal liquidación ex ante como un techo indemnizatorio que en ningún caso se puede sobrepasar o modificar. Todo ello, según los recurrentes, es obvio que resulta incompatible con el carácter resarcitorio que la compensación por copia privada debe tener, si se quiere respetar el contenido esencial del derecho de propiedad intelectual (art. 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Igualmente, señalan los recurrentes que la capacidad económica del artículo 31 CE, como regla constitucional de contribución al sostenimiento de los gastos públicos, se resiente ilegítimamente con una previsión legal que impone la obligación de contribuir a sufragar un gasto —como es la compensación equitativa por copia privada—, que está al margen de cualquier consideración sobre la riqueza o el enriquecimiento obtenido por el ciudadano individualmente considerado. El artículo 33 CE reconoce y protege el derecho de propiedad privada y el artículo 31 CE establece la exigencia de un sistema tributario justo, inspirado en los principios de igualdad y progresividad, que en ningún caso debe tener carácter confiscatorio.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gasto público ha de realizarse respondiendo a los criterios de eficiencia y economía y sólo podrán establecerse prestaciones de carácter público con arreglo a la Ley. Por ello, a juicio de la parte recurrente, el hecho de que el beneficio de la copia privada se reserve a determinados ciudadanos usuarios, mientras que el pago se distribuya entre todos los contribuyentes, sin consideración alguna a la eventual riqueza o enriquecimiento, siquiera potencial, que, por el uso de copia privada, pudieran obtener, supone una carga injusta, proscrita por el artículo 31.1 CE, al no basarse en parámetros de riqueza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se señala que la compensación equitativa con cargo a los presupuestos generales del Estado rompe con el concepto de igualdad, en el sentido que el Tribunal Constitucional anuda los artículos 14 y 31 CE, en torno, precisamente, al concepto de capacidad económica (SSTC 27/1981, FJ 4; 19/1987, FJ 3, y 209/1988,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Respecto al segundo bloque de consideraciones, los recurrentes alegan que los apartados segundo y tercero de la disposición adicional primera de la Ley 21/2014, en la medida en que obligan a las entidades de gestión colectiva de derechos de propiedad intelectual a crear una ventanilla única, como medio de facturación y pago de los derechos de autor, el legislador les está imponiendo un deber de asociarse entre sí para gestionarlos, lo que vulnera abiertamente el artículo 22 CE, que reconoce el derecho de asociación en su faceta negativa, es decir, el derecho a no asociarse (STC 56/1995). Sobre este particular, los recurrentes destacan que no se trata de la imposición de asociarse a una asociación ya creada, sino de algo todavía más grave: la obligación legal de crear una nueva asociación, por lo que la invasión del derecho de asociación es evidente, pues, a su parecer, la vertiente negativa de tal derecho fundamental consiste en el derecho a no ser obligado a crear una asociación, que forma parte del contenido esencial del derecho de asociación y así lo proclama el artículo 2.3 de la Ley Orgánica 1/2002, de 22 de marzo, reguladora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vulneración constitucional, según añaden los recurrentes, hay que sumarle el hecho de que la obligación de crear la asociación se imponga bajo la amenaza de ejercicio de la potestad sancionadora de la Administración para el caso de que no se constituya, según reza el primer párrafo del apartado segundo de la disposición adicional primera de la Ley impugnada, lo que supone, además de las lesiones individuales de los respectivos derechos subjetivos de los asociados, una conculcación de la dimensión institucional y objetiva del derecho fundamental, en tanto regla básica y esencial del sistema constitucional de derechos y libertades (STC 25/1981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los recurrentes, la imposición de estatutos y el control del funcionamiento de las entidades de gestión por la Administración es una injerencia pública no amparable en el artículo 22 CE, que cercena las más esenciales facultades asociativas, como lo son particularmente la de su capacidad específica de resolver los propios conflictos internos, conforme a los procedimientos establecidos en sus estatutos, la capacidad general de desenvolvimiento en el tráfico jurídico y la de adopción de sus propios acuerdos.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Los recurrentes finalizan advirtiendo que el reproche de inconstitucionalidad lo es al conjunto de la regulación de la ventanilla única de los apartados segundo y tercero de disposición adicional primera de la Ley 21/2014, en relación también con los apartados decimotercero y decimosexto de la misma ley, por incluir nuevas redacciones, respectivamente, de los artículos 154.5 d) y segundo párrafo de dicho apartado quinto, así como el 157.1 e) del texto refundido de la Ley de propiedad intelectual , que tienen conexión con aquellos. A su parecer, debido al resultado ilegítimo tan gravoso para el derecho de asociación que tienen los preceptos de referencia, en cuanto que sobrepasan los límites que marca la doctrina constitucional sobre el ejercicio de aquel derecho, procede la declaración de inconstitucionalidad y nulidad, no sólo de los incisos que desbordan singularmente el contenido esencial del derecho, sino también de toda la regulación de la ventanilla única globalmente considerada. Recuerdan que la imposición a las entidades de gestión de los derechos de autor del deber de asociarse y, subsidiariamente, la previsión de su asociación coactiva por decisión administrativa gravan de tal modo el derecho fundamental de asociación que lo desconfiguran, hasta hacerlo irreconocible.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recuerdan que cualquier afectación proporcionada de un derecho fundamental debe contar con un fin legítimo que la justifique y que en este caso el objetivo declarado por el legislador para la creación de la ventanilla única ha sido la reducción de los costes de transacción que la gestión de los derechos de autor lleva aparejada. Finalidad que, sin embargo, a juicio de la parte recurrente, queda en entredicho desde el momento que, en la propia exposición de motivos de la Ley 21/2014 (párrafo cuarto), se afirma que el objetivo es el “diseño de mecanismos eficaces de supervisión de las entidades de gestión”. De tal reducción de costes no hay trazo en la ley que acredite que la medida sea susceptible de alcanzar el fin propuesto, sino más bien lo contrario, toda vez que el modelo de ventanilla única comporta un indudable coste para las entidades de gestión y, sobre todo, para los titulares de los derechos de propiedad intelectual asociados en torno a ellas, porque la ley prohíbe que ciertas cantidades recaudadas por determinados conceptos sean distribuidas, debiéndose reservar para financiar la propia ventanilla, independientemente de los gastos que genere.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a juicio de los recurrentes, ha quedado justificada la adecuación o necesidad de la instauración de este modelo de gestión y recaudación, ni la inexistencia de otro medio que, siendo menos gravoso para los derechos fundamentales, sirva igualmente para conseguir el fin pretendido, que no pase por la asociación obligatoria y la injerencia pública en la asociación. Por todo ello, se sostiene que solo cabe declarar la inconstitucionalidad, por desproporcionado, de un modelo de ventanilla única como el regulado globalmente en los apartados segundo y tercero de la disposición adicional primera de la Ley 21/2014 y demás preceptos vinculados, todos de la Ley 21/2014, recalcando que no lo es por ser una medida ineficaz, sino por innecesaria y desproporcionada respecto a las garantías del derecho fundamental de asociación.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recurso concluye con la súplica de que este Tribunal dicte sentencia que declare la inconstitucionalidad y consiguiente nulidad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3 de marzo de 2015, el Pleno acordó admitir a trámite el recurso de inconstitucionalidad y dar traslado de la demanda y documentos presentados al Congreso de los Diputados, al Senado y al Gobierno, al objeto, de que, en el plazo de 15 días, pudieran personarse en el proceso y formular las alegaciones que estimaren convenientes. Se dispuso, por último, publicar la formalización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de 10 de marzo de 2015, se comunicó al Tribunal el acuerdo de la Mesa de la Cámara de conformidad con el cual, el Congreso de los Diputados se personaba en el procedimiento y ofrecía su colaboración, a los efectos del artículo 88.1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virtud de escrito registrado el día 11 de marzo de 2015, el Abogado del Estado, en la representación que legalmente ostenta, se personó en nombre del Gobierno de la Nación y solicitó prórroga por el máximo legal del plazo concedido para formular alegaciones, concediéndole este Tribunal, por providencia de fecha de 12 de marzo de 2015, una prórroga de ocho días, a contar desde el siguiente al de la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día 18 de marzo de 2015, el Presidente del Senado rogó que se tuviera a la Cámara por personada y por ofrecida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día 9 de abril de 2015, el Abogado del Estado, en representación y defensa del Gobierno de la Nación, formuló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el escrito del Abogado del Estado afirmando que la facultad de obtener una compensación por copia privada no forma parte del contenido esencial del derecho de propiedad intelectual y que el hecho de que la creación legal de la facultad de exigir esa compensación amplíe el haz de facultades que componen el contenido del derecho de propiedad intelectual, en modo alguno permite afirmar que la carencia de dicha facultad haga irreconocible el derecho del autor sobre su obra original. De esta manera, si el legislador puede crear ab origine la facultad de exigir una compensación económica en determinadas circunstancias, no puede decirse que dicha facultad integre, sobre la base del artículo 53 CE, ese espacio inmune a la eventual y ulterior acción modificativa o moduladora del derecho por parte del mismo legislador. Al contrario, siendo creación del legislador, “puede éste modularla en función de los criterios de política legislativa que considere en un momento dado e incluso suprimirla de nuevo, según las circunstancias o perspectiva del interés general que, en cada momento, demande la situación socioeconómica sobre la que aquel actúa”.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es, en el parecer del representante del Gobierno, como lo recoge la Directiva 2001/29/CE, que es que la que resulta transpuesta por el artículo 25 del texto refundido de la Ley de propiedad intelectual que, partiendo del derecho del autor a permitir o prohibir la reproducción de su obra, reconoce a los Estados miembros la potestad “de prever en sus ordenamientos internos excepciones o limitaciones al derecho de autor al regular la copia privada”. A lo expuesto añade que “como se ha interpretado por la Jurisprudencia del Tribunal de Justicia de la Unión Europea, y que la misma demanda del recurso asume, la compensación equitativa es un concepto autónomo del Derecho de la Unión Europea”. Se trata de “una facultad cuyo origen está en el acto mismo de creación legislativa realizado por el derecho europeo, añadiéndola por efecto de esa configuración legal realizada por el derecho objetivo, al conjunto de facultades preexistentes que ya componían el contenido propio del derecho de propiedad intelectual que ostenta el autor sobre sus obras”. Pero, precisamente, por ser esta facultad jurídica una creación del Derecho positivo “no forma parte del núcleo esencial del derecho subjetivo de propiedad intelectual”, lo que, a su juicio, conlleva la consecuencia de que, en modo alguno, se desnaturalice la esencia de este derecho si el legislador optara por la supresión de la facultad de obtener dicha compensación.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según destaca, “la modulación del derecho por parte del legislador español, tanto en su ámbito sustantivo, como en lo atinente a la cuantificación concreta del montante global anual de la compensación mediante Ley de presupuestos, no constriñe ni afecta indebidamente al núcleo esencial del derecho de propiedad intelectual. No puede apreciarse vulneración del artículo 53 CE por el artículo 25 del texto refundido de la Ley de propiedad intelectual  y partida presupuestaria de la Ley de 36/2014, de 26 de diciembre, de presupuestos generales del Estado para 2015, que consigna el crédito autorizado para 2015, ni, consecuentemente, existe tampoco vulneración del artículo 33 CE, en la medida en que el legislador puede decirse que ha regulado, modulado o limitado el derecho de propiedad intelectual dentro de su propio margen discrecional de ordenación de la realidad socioeconómica sobre la que incide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regulación sobre compensación por copia privada y la cuantificación efectuada por la Ley de presupuestos para 2015 no incurren en vulneración del artículo 33 CE. Sostiene la Abogacía del Estado que nada se opone a que la cuantía en concepto de resarcimiento se fije a tanto alzado o en abstracto, máxime cuando no ha habido, por efecto de la ley aprobada, expropiación de derechos patrimoniales, y ello por no poder apreciarse la existencia previa de un derecho adquirido en sentido propio, sino más bien el desarrollo y aplicación de una medida o de unas medidas legislativas generales de favorecimiento a los autores de las obras, por razón de, o a la vista de, unas circunstancias de hecho tomadas en cuenta por el legislador y que hacen que éste venga a considerar, con fundamento en objetivos de política legislativa, que lo que hasta el momento no se consideraba objeto de remuneración (la extracción de copia privada), reciba, en cambio, a partir de ahora, un tratamiento normativo diferente y los titulares de los derechos reciban una genérica compensación equitativa, necesitada de detalle y concreción legislativa por los ordenamientos internos, a los que ya hemos visto que la misma Directiva da cauce de actuación.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se sostiene que el carácter resarcitorio de la compensación por copia privada debe relacionarse con la intención del legislador de proveer, efectivamente, a una satisfacción patrimonial y compensatoria, pero no necesariamente se debe realizar el cálculo de los daños y perjuicios realmente sufridos por los titulares de los derechos de autor, en tanto que no ha habido ablación de derechos adquiridos propiamente, esto es, de derechos ya ingresados supuestamente en los respectivos patrimonios de los sujetos pretendidamente perjudicados.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legislación interna se ha aprobado con observancia de los principios reconocidos por el artículo 31 CE, porque, analizadas las normas que prevén el pago de la compensación por copia privada con cargo a los presupuestos generales del Estado, precisamente, lo que se hace mediante esta técnica es reducir la cuantía de gasto, aliviándose entonces esa carga fiscal general. Por consiguiente, el artículo 31 CE resulta más salvaguardado, al reducir el gravamen.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advierte la Abogacía del Estado que si, por el contrario, lo que se quiere entender es que, con la reducción presupuestaria, lo que acontece es una vulneración de la capacidad económica de los titulares de los derechos de autor, tampoco la construcción conceptual sería la acertada, pues una reducción en el montante de una disposición autorizada de fondos no es una exacción, no es un tributo ni una carga patrimonial en sentido técnico, sino que se trata de un beneficio económico generado en su día por decisión del legislador, que, en un momento dado, resulta posteriormente reducido en su cuantía, por razones, también, de política legislativa. En consecuencia, el artículo 31 CE no es en realidad un precepto constitucional que pueda ser traído a colación en el debate jurídico que se ha entablado en torno a la corrección y adecuación de la reducción presupuestaria operada respecto de la compensación por copia privada en los presupuestos generales del Estado para el ejercicio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último lugar, se sostiene que la legitimación del legislador para intervenir en la configuración y diseño del régimen jurídico de las entidades gestoras de los derechos de propiedad intelectual “tiene un carácter funcional, y la adecuación y razonabilidad de dicha regulación general no es de orden subjetivo, o que afecte a su configuración básica como clase de entidades, sino que lo es por razón de la actividad material que esta clase de entidades llevan a cabo, cualquiera que fuese su forma de personificación formal que la ley hubiese opcionalmente previsto”. Tal planteamiento legislativo es lo que, según el Abogado del Estado, “ampara la constitucionalidad de la normativa en cuestión, aprobada por ley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representante del Gobierno, aunque el derecho fundamental de asociación puede definirse como un “derecho de libertad”, que comprende, tanto la libertad de asociarse, como la de no asociarse, la de crear asociaciones y la de organizarse y funcionar libre de injerencias del poder público, sin embargo tal afirmación debe puntualizarse, “pues ese carácter de derecho de libertad es compatible con un régimen jurídico objetivo establecido por el legislador, y no ya en cuanto al núcleo o qué sea el régimen jurídico esencial del derecho de asociación en todo aquello que la norma puede constitucionalmente prever en desarrollo del artículo 22 CE, estableciendo así el estatuto fundamental del ejercicio del derecho, como ocurre en el caso con la Ley Orgánica 1/2002, de 22 de marzo, reguladora del derecho de asociación, sino que, desde la perspectiva jurídico-constitucional, también resulta admisible una regulación, por decirlo así, externa, que limite o someta a requisitos el ejercicio de la actividad, cualquiera que sea la forma jurídica adoptada por la entidad. Es decir, reconoce la compatibilidad constitucional de la sujeción de la actividad a límites funcionales, no constitutivos de la asociación como categoría general de persona jurídica en abstracto, sino en contemplación de las concretas funciones que dichas entidades desarrollan, es decir, en el ámbito jurídico material en el que lleve a cabo su actividad, y por razón de 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señala que “lo que resultaría inconstitucional sería tal vez la hipótesis en que a una asociación, por el hecho sólo de serlo, se la sometiera a autorizaciones administrativas o se la impusieran formas de organización no previstas o incompatibles con lo dispuesto en la Constitución o en su estatuto personal básico establecido mediante ley orgánica; con independencia de las funciones o del ámbito material en el que operara o de la actividad específica a la que se dedicara legalmente”. Pero, como, a continuación, señala “no resulta en modo alguno inconstitucional que a determinadas actividades, por las razones de interés general que fueran y que el legislador haya previsto en virtud de la clase de actividad objeto de regulación (no de la persona en sí), como peligrosidad, complejidad, especial conexión con las necesidades básicas del país, etc., sea sometida a autorización o se les imponga a las entidades que la ejercen ciertas obligaciones jurídicas, con independencia de que dichas actividades fueran desempeñadas por una clase u otra de personas o formas jurídicas de personificación que los operadores hubieran escogido dentro de las alternativas legalmente previstas en el ordenamiento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representante del Gobierno de la Nación subraya que los requisitos impuestos por el legislador a las entidades de gestión, tales como la ausencia de ánimo de lucro, la autorización del Ministerio de Educación y Cultura que las entidades deben obtener para poder actuar como entidades de gestión de los derechos de propiedad intelectual, son razonables y están justificados y caben encuadrarse dentro del ámbito de la libre configuración del legislador, con lo cual no puede entenderse que exista injerencia en contravención del artículo 22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ello concluye que el recurso de inconstitucionalidad debe ser desestimado en su integridad.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20 de febrero de 2018, se señaló para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está constituido por: 1) el artículo primero, apartado segundo de la Ley 21/2014, de 4 de noviembre, por la que se modifica el texto refundido de la Ley de propiedad intelectual, aprobado por Real Decreto Legislativo 1/1996, de 12 de abril, y la Ley 1/2000, de 7 de enero, de enjuiciamiento civil, en las modificaciones que realiza del artículo 25.1, párrafo segundo en cuanto dispone “dicha compensación, con cargo a los presupuestos generales del Estado, estará dirigida a compensar los derechos de propiedad intelectual que se dejaran de percibir por razón del límite legal de copia privada” y del artículo 25.3, inciso “y contará con una consignación anual en la Ley de presupuestos generales del Estado”, ambos del texto refundido de la Ley de propiedad intelectual; 2) la Ley 36/2014, de 26 de diciembre, de presupuestos generales del Estado para el año 2015, en cuanto a la aprobación del crédito presupuestario 18.321M.13.484; y 3) los apartados segundo y tercero de la disposición adicional primera de la Ley 21/2014, de 4 de noviembre, y en conexión con aquellos el artículo primero, apartados decimotercero y decimosexto de la Ley 21/2014, de 4 de noviembre, en las redacciones que, respectivamente, dan a la letra d) y al segundo párrafo del artículo 154.5, así como a la letra e) del artículo 157.1, ambos del texto refundido de la Ley de propiedad intelectual.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hemos destacado de modo más detallado en los antecedentes de esta Sentencia, el recurso de inconstitucionalidad propugna la declaración de inconstitucionalidad y nulidad de los anteriores preceptos porque incurren, de una parte, en vulneración del artículo 33 CE, que reconoce el derecho a la propiedad y, más concretamente, el derecho a la propiedad intelectual, de otro lado, porque comportan una infracción del artículo 31 CE, relativo a la igualdad tributaria y el principio de capacidad económica. Y, finalmente, en lo que se refiere a los preceptos que regulan el régimen de ventanilla única para la centralización de las operaciones de facturación y pago, porque vulneran el derecho de asociación reconocido en el artículo 22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el Abogado del Estado entiende que el contenido de las normas impugnadas es plenamente respetuoso con los derechos constitucionales invocados por los diputados recurrentes, proponiendo, en consecuencia, la desestimación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enjuiciamiento de los motivos de inconstitucionalidad denunciados, es necesario comenzar valorando el alcance que tiene sobre el presente proceso el hecho de que se haya producido una reforma legislativa sobrevenida, que ha provocado que la mayor parte de las disposiciones impugnadas ya no se encuentren en vigor al tiempo del dictado de esta Sentencia. En tal sentido, ha declarado este Tribunal que, “en el ámbito del recurso de inconstitucionalidad, recurso abstracto y orientado a la depuración objetiva del ordenamiento, la pérdida sobrevenida de la vigencia del precepto legal impugnado ‘habrá de ser tenida en cuenta por este Tribunal para apreciar si la misma conlleva ... la exclusión de toda la aplicabilidad de la ley, [pues] si así fuera, no habría sino que reconocer que desapareció, al acabar su vigencia, el objeto de este proceso constitucional que, por sus notas de abstracción y objetividad, no puede hallar su exclusivo sentido en la eventual remoción de las situaciones jurídicas creadas en aplicación de la ley, acaso inconstitucional (art. 40.1 LOTC)’ (STC 199/1987, FJ 3). Por ello, carece de sentido, tratándose de un recurso de inconstitucionalidad, pronunciarse sobre normas que el mismo legislador ha expulsado ya de dicho ordenamiento ... de modo total, sin ultraactividad (SSTC 160/1987, FJ 6; 150/1990, FJ 8; 385/1993, FJ 2). No obstante lo anterior, esta regla general conoce excepciones pues hemos afirmado que por idéntica razón, esto es para excluir ‘toda aplicación posterior de la disposición legal controvertida, privándola así del vestigio de vigencia que pudiera conservar’, puede resultar útil —conveniente— su enjuiciamiento, aun cuando haya sido derogada (SSTC 160/1987, FJ 6, y 385/1993, FJ 2).” (STC 124/2003, de 19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del presente recurso de inconstitucionalidad la mayor parte de los preceptos impugnados han quedado afectados, bien por haber sido reformados, bien por haber sido derogados por el Real Decreto-ley 12/2017, de 3 de julio, que ha modificado el texto refundido de la Ley de propiedad intelectual en lo que atañe al sistema de compensación equitativa por copia privada. Así, del contenido, antecedentes y sucesivas modificaciones de las disposiciones normativas objeto del presente recurso se deduce, en efecto, que se ha producido la subsiguiente pérdida parcial de objeto del recurso, pues la propia exposición de motivos del Real Decreto-ley 12/2017 señala expresamente que “los recientes pronunciamientos judiciales europeos y nacionales interpretando la Directiva 2001/29/CE han dejado sin vigencia la actual regulación de la compensación equitativa por copia privada” y que la nueva normativa “sustituye el actual modelo de compensación equitativa financiado con cargo a los Presupuestos Generales del Estado por un modelo basado en el pago de un importe a satisfacer por los fabricantes y distribuidores de equipos, aparatos y soportes de reproducción”.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no existe una cláusula derogatoria expresa en el Real Decreto-ley 12/2017, pero se instaura un sistema de compensación que sustituye enteramente al anterior, que ha sido impugnado en el presente proceso. Además, de acuerdo con los pronunciamientos judiciales europeos y nacionales dictados en interpretación de la Directiva 2001/29/CE, el sistema de referencia ha carecido de aplicabilidad en nuestro país, incluso antes de la modificación, por contravención de aquel con el Derecho de la Unión.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efecto, para el análisis del efecto derogatorio de la nueva normativa, hemos de tomar como punto de partida el artículo primero, apartado segundo de la Ley 21/2014, de 4 de noviembre (en adelante, Ley 21/2014), que modificó el artículo 25 del texto refundido de la Ley de propiedad intelectual y, de modo más concreto, el párrafo segundo del apartado primero de aquel precepto, que establece que “dicha compensación, con cargo a los Presupuestos Generales del Estado, estará dirigida a compensar los derechos de propiedad intelectual que se dejaran de percibir por razón del límite legal de copia privada”, así como del apartado tercero, relativo al procedimiento de determinación de la cuantía de esta compensación, en su inciso “contará con una consignación anual en la ley de Presupuestos Generales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Real Decreto-ley 12/2017, el artículo único, apartado primero, que da nueva redacción al artículo 25 del texto refundido de la Ley de propiedad intelectual, introduce importantes modificaciones en los números 2 y 3 de dicho precepto, puesto que, según la nueva redacción de tales apartados, se determina quiénes son los sujetos acreedores de la compensación equitativa y única (núm. 2), y también los deudores que deban abonarla (núm. 3), si bien deberán repercutir el importe pagado por la compensación “de forma separada en la factura que entreguen a su cliente” e indicar, en el caso en el que el cliente sea consumidor final, su derecho a obtener el reembolso si cumple los requisitos contemplados en las excepciones que se indican (núm.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nueva normativa establece un procedimiento para la determinación de la cuantía correspondiente a la compensación (art. único, apartado 1.3 y 4 del Real Decreto-ley 12/2017), los equipos sujetos a la misma, y la posterior metodología de distribución de dichas cantidades por modalidad de reproducción. Dicho procedimiento, que será concretado mediante orden ministerial, deberá ser revisado, al menos, con una periodicidad de tres años. Para la preparación del mismo, el Real Decreto-ley 12/2017 permite que las entidades de gestión, los interesados y las asociaciones mayoritarias que representen a los sujetos deudores participen, pudiendo éstas presentar una propuesta motivada según sus intereses. La determinación de la cuantía deberá atender a una serie de criterios objetivos, como son la intensidad del uso y la capacidad de almacenamiento de los equipos, el grado de sustitución real de las copias con respecto al original y el efecto, entre otros. Las concretas cuantías deberán ser aprobadas mediante dicho procedimiento en el plazo máximo de un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se crea una solución transitoria aplicable a partir de la fecha de entrada en vigor hasta la determinación definitiva de la compensación con la orden ministerial, en la cual se establecen unas cuantías determinadas por diversos conceptos, así como su régimen de facturación y liquidación, por lo que tampoco puede apreciarse problema alguno respecto a los efectos transitorios de las normas impugnadas en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Examinado cómo el Real Decreto-ley 12/2017 ha instaurado un nuevo sistema de compensación por copia privada que sustituye enteramente al anterior, cabe igualmente señalar que el sistema de compensación de copia privada, con cargo a los presupuestos generales del Estado, regulado en los preceptos impugnados en el presente proceso, no era aplicable antes de su sustitución por el Real Decreto-ley 12/2107, en tanto en cuanto había sido considerado por la Sentencia del Tribunal de Justicia de la Unión Europea de 9 de junio de 2016, asunto C-470/14, como contrario al artículo 5, apartado segundo, letra b), de la Directiva 2001/29/CE del Parlamento Europeo y del Consejo, relativa a la armonización de determinados aspectos de los derechos de autor y derechos afines a los derechos de autor en la sociedad de la información, lo que ha determinado, como consecuencia, que los preceptos impugnados de la Ley 21/2014 no hayan podido ser aplicados y, por ello, que la norma legal de referencia carezca de ultraactividad, por lo que las quejas imputadas a aquellos deben decaer.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los criterios seguidos por la doctrina reiterada de este Tribunal respecto a la pérdida de objeto de los recursos de inconstitucionalidad anteriormente expuestos, hemos de apreciar la desaparición del objeto del recurso en relación con las vulneraciones constitucionales que se le imputan al artículo primero, apartado segundo de la Ley 21/2014, de 4 de noviembre, en las modificaciones que realiza del artículo 25.1, párrafo segundo y del artículo 25.3, en el inciso impugnado, pues tales quejas han desaparecido sobrevenidamente, al haber sido derogados por una regulación posterior, sin que se encuentren, tampoco, en alguno de los supuestos que contempla la doctrina de este Tribunal para justificar el enjuiciamiento de normas legales derogadas.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igual conclusión hemos de llegar en relación a la concreta pretensión de los diputados recurrentes de que se declare inconstitucional y nula la Ley 36/2014, de 26 de diciembre, de presupuestos generales del Estado para el año 2015, en cuanto a la aprobación del crédito presupuestario 18.321M.13.484, es decir, la consignación presupuestaria anual que lleva las siguientes rúbricas: “Sección 18 Ministerio de Educación, Cultura y Deporte; Programa 321 M Dirección y Servicios Generales de Educación. Cultura y Deporte: clasificación orgánica 18.13 Dirección General de Políticas e Industrias Culturales y del Libro: clasificación económica 4 Transferencias Corrientes: 48 A familias e instituciones sin fines de lucro; 484: Compensación equitativa por copia privada a hacer efectiva a los beneficiarios legales de la misma, a través de las entidades de gestión de derechos de propiedad intelectual, mediante el procedimiento de pago que reglamentariamente se establezca”, por un importe total de 5.000.00 miles de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este Tribunal ha tenido ocasión de recordar que “no es, en rigor, a las autorizaciones de créditos para gastos consignadas en las Leyes de presupuestos generales del Estado a las que han de atribuirse las presuntas lesiones al orden constitucional y estatutario de competencias, sino a las concretas normas y actos administrativos que les dan ejecución” (STC 13/1992, de 6 de febrero, FJ 6), normas y actos cuya impugnación, como se desprende de lo dicho en el fundamento jurídico anterior, han perdido objeto, por lo que procede también apreciar la perdida sobrevenida de objeto de la impugnación de la Ley 36/2014, de 26 de diciembre, de presupuestos generales del Estado para el año 2015, en cuanto a la aprobación del crédito presupuestario 18.321M.13.484.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Respecto a los apartados segundo y tercero de la disposición adicional primera de la Ley 21/2014 y en conexión con aquellos, el artículo primero, apartado decimotercero de la misma Ley, en la redacción que da a la letra d) y al párrafo segundo del artículo 154.5 del texto refundido de la Ley de propiedad intelectual, relativos a la financiación de la ventanilla única de facturación y pago, así como el artículo primero, apartado decimosexto, letra e) del artículo 157.1 del texto refundido de la Ley de propiedad intelectual, sobre la participación de las entidades de gestión en la creación, administración, financiación y mantenimiento de la ventanilla única, no puede afirmarse su pérdida de objeto, pues el Real Decreto-ley 12/2017 no ha alterado el régimen de la ventanilla única gestionado por una persona jurídica diferente de las entidades de gestión, a que se referían los apartados impugnados de la Disposición Adicional primera de la Ley 21/2014.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las modificaciones introducidas por el Real Decreto-ley 12/2017 han incluido, en los nuevos apartados décimo a duodécimo del artículo 25 del texto refundido de la Ley de propiedad intelectual, un nuevo régimen de compensación por copia privada, sin afectar al régimen de facturación y pagos previsto para los usuarios del repertorio de las entidades de gestión a que se refieren los apartados impugnados de la disposición adicional primera de la Ley 21/2014. Así, mientras que el régimen de compensación por copia privada financiado con cargo a los presupuestos generales del Estado se ha visto derogado por un modelo basado en el pago de un importe a satisfacer por los fabricantes y distribuidores de equipos, aparatos y soportes de reproducción, el régimen de facturación y pagos previsto para los usuarios del repertorio de las entidades de gestión no ha sufrido ninguna alteración.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pues, de que se halla en vigor el sistema de facturación y pago previsto inicialmente por la disposición adicional primera de la Ley 21/2014, que nada tiene que ver con el nuevo régimen de compensación por copia privada recogido en el Real Decreto-ley 12/2017, resulta procedente analizar la impugnación del conjunto de normas que los recurrentes consideran contrarias al derecho de asociación reconocido en el artículo 22 CE, al obligar, según los recurrentes, a las entidades de gestión colectiva de derechos de autor a crear y financiar una nueva persona jurídica, no controlada por las anteriores en su toma de decisiones, que gestione la ventanilla única, a través de la cual se tramite el pago de tales derechos de propiedad intelectual.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ello, antes de comenzar su enjuiciamiento, resulta necesario hacer una descripción detallada del sistema que desarrolla la mencionada disposición adicional de la Ley 21/2014. En este sentido, bajo la rúbrica “Medidas de reducción de los costes de transacción”, el apartado primero de esta disposición adicional impone al Gobierno la obligación genérica de impulsar “medidas para la reducción de los costes de transacción entre titulares de los derechos de propiedad intelectual y los usuarios de tales derechos” y, por el contexto de este precepto en el que se enmarca, el sistema de “ventanilla única” de facturación y pago respondería, entre otros, a tales objetivos de reducción de costes de transacción.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pues, de la anterior descripción genérica de objetivos, el apartado segundo obliga a las entidades de gestión a crear una ventanilla única “a través de la cual se centralizarán las operaciones de facturación y pago de los importes que los usuarios adeuden a las mismas”. Esta ventanilla única deberá ser creada en los cinco meses inmediatamente posteriores a la entrada en vigor de la ley, plazo del que disponen las entidades para “acordar los términos de [su] creación, financiación y mantenimiento”. A falta de acuerdo entre las entidades de gestión y, dentro del término improrrogable de tres meses desde la finalización del plazo anterior, la Sección Primera de la comisión de propiedad intelectual podrá dictar una resolución estableciendo dichos términos. Esta disposición adicional primera entronca directamente con la obligación que la letra e) del artículo 157.1 de la Ley de propiedad intelectual impone a las entidades de gestión, consistente, literalmente, en “participar en la creación, gestión, financiación y mantenimiento de una ventanilla única de facturación y pago, accesible a través de Internet, en los plazos y condiciones determinados en la normativa en vigor, y en la cual los usuarios del repertorio de las entidades de gestión puedan conocer de forma actualizada el coste individual y total a satisfacer al conjunto de dichas entidades, como resultado de la aplicación de las tarifas generales a su actividad, y realizar el pago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gestión de la ventanilla única corresponderá a una “persona jurídica privada sin que ninguna de ellas ostente capacidad para controlar la toma de decisiones” (párrafo segundo del apartado segundo). Además, deberá prestar sus servicios “en condiciones objetivas, transparentes y no discriminatorias”, así como adecuarse al conjunto de las reglas que se describen a continuación [párrafo tercero del apartado segundo, encabezadas con las letras a) a c)]. Seguidamente, el precepto atribuye el control previo de los estatutos de la persona jurídica que gestione la ventanilla única, así como de su funcionamiento ulterior, al Ministerio de Educación, Cultura y Deporte y a la Comisión Nacional de los Mercados y la Competencia, en sus respectivos ámbitos de competencia (párrafo tercero del apartado segundo). Finalmente, se habilita al Gobierno para que, por vía reglamentaria, pueda desarrollar lo establecido en este apartado (párrafo cuarto del apartado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apartado tercero, también impugnado, en conexión con el artículo 154.5 d) del texto refundido de la Ley de propiedad intelectual, impone a las entidades de gestión la obligación de destinar los fondos necesarios para la financiación de la ventanilla única.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del texto de los preceptos impugnados, la parte recurrente, como ya se ha descrito detalladamente en los antecedentes, impugna su constitucionalidad sobre la base de dos argumentos que se hallan conectados a la eventual vulneración del derecho de asociación reconocido en el artículo 22 CE. De una parte, la denuncia se localiza en el deber impuesto a las entidades de gestión de tener que crear y mantener una persona jurídico-privada, independiente de aquellas y sobre la que ninguna ejerza control alguno sobre sus decisiones, para facturar y gestionar el pago de los derechos, por lo que entienden que la relación de preceptos citados habría vulnerado uno de los contenidos esenciales del derecho de asociación como es el del derecho a no asociarse. De otra parte, pero conectado al precitado derecho fundamental, los recurrentes alegan vulneración del principio de proporcionalidad porque consideran que, para la consecución del fin expresado por la norma de referencia (apartado primero), como es el de la reducción de costes en las transacciones entre titulares y usuarios de los derechos de propiedad intelectual, la medida adoptada de creación de una ventanilla única gestionada por una persona jurídico-privada independiente no es proporcionada. Por su parte, el Abogado del Estado sostiene que la exigencia de crear esta persona jurídico-privada, impuesta por el legislador, es de carácter meramente funcional, que no afecta al contenido esencial del derecho de asociación, por lo que interesa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delimitadas las posiciones de las partes, procede ahora el enjuiciamiento de las cuestiones suscitadas, no sin antes hacer una consideración previa, que se deduce de los propios argumentos de la parte recurrente como es la de que, en realidad, lo que, propiamente, objeta el grupo de parlamentarios recurrente, no es en sí mismo el sistema de facturación y pago de los derechos de propiedad intelectual, a realizar por medio de una “ventanilla única”, que ha elegido el legislador para el desempeño de dichas funciones, sino más bien el hecho de que la norma legal obligue a las entidades de gestión de aquellos derechos a tener que crear una persona jurídico-privada para la gestión de la citada ventanilla. Este es, precisamente, el eje nuclear de la impugnación, sobre el que habremos de centrar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la anterior delimitación del objeto de esta impugnación, la primera precisión que ha de ponerse de relieve es que la disposición adicional primera, tras obligar a las entidades de gestión a la creación de una ventanilla única, tan sólo dispone que “la ventanilla será gestionada por una persona jurídica privada sin que ninguna entidad de gestión ostente capacidad para controlar la toma de decisiones”.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aun cuando esta persona jurídico-privada fuere creada ex novo por las entidades de gestión no necesariamente tendría ésta que asumir una configuración jurídica susceptible de comprometer el derecho fundamental de asociación (art. 22 CE), pues lo único que aquella disposición exige es que exista un ente con personalidad jurídica propia e independiente, esto es, un centro de imputación formal diferenciado, a efectos de instrumentar las operaciones de cobro y pago de los derechos, sin requerir mayor precisión. De acuerdo con lo establecido en la norma legal de referencia, este ente jurídico-privado no necesariamente debe asumir una configuración formal de índole estrictamente asociativa; podría instrumentarse perfectamente a través de cualquier modalidad de persona jurídico-privada, de entre las diferentes que reconoce nuestro ordenamiento jurídico, siempre que sirva también para cumplir el requerimiento que impone el mandato legislativo.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realidad, la personalidad jurídica es, por sí sola, un instrumento jurídico formal que permite la creación de un centro específico de imputación de relaciones jurídicas, sin que presuponga, per se, un componente asociativo, esto es, un ligamen entre individuos para conseguir determinados fines comunes. Así lo acredita el hecho mismo de que, en la actualidad, abunden en nuestro ordenamiento personas jurídicas instrumentadas para alcanzar fines específicos de un solo individuo (sociedades unipersonales).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la mera obligación legal de instrumentar la gestión de las operaciones económicas (cobro y pago) a través del mecanismo o investidura formal de una persona jurídica privada en modo alguno supone una vulneración del derecho de asociación, lo que no obsta a que el control constitucional de la imposición de este tipo obligaciones no pueda efectuarse desde otra perspectiva constitucional, como la libertad de empresa del artículo 38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fundamento de impugnación de los recurrentes, al confrontar la disposición adicional primera de la Ley 21/2014 con el artículo 22 CE y con el derecho fundamental de asociación que dicho precepto constitucional reconoce, decae desde el mismo momento en que lo cuestionado constitucionalmente no es el precepto legal en sí mismo considerado, sino la aplicación práctica que, del mismo, hayan podido hacer las entidades de gestión. En definitiva, no hay en el precepto impugnado una eventual vulneración de la libertad negativa de asociación, es decir, del derecho a no ser obligado a asociarse.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las consideraciones expuestas debe desestimarse el recurso en cuanto a la denunciada inconstitucionalidad de los apartados segundo y tercero de la disposición adicional primera de la Ley 21/2014 y, en conexión con aquellos, del artículo primero, apartado decimotercero de la misma ley, en la redacción que da a la letra d) relativo a la financiación de la ventanilla única de facturación y pago y al párrafo segundo del artículo154.5 del texto refundido de la Ley de propiedad intelectual , así como al artículo primero, apartado decimosexto, en el nuevo texto que incorpora al artículo 157.1 letra e) del precitado texto refundido de la Ley de propiedad intelectual.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han perdido objeto: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La impugnación del artículo primero, apartado segundo de la Ley 21/2014, de 4 de noviembre, por la que se modifica el texto refundido de la Ley de propiedad intelectual, aprobado por Real Decreto Legislativo 1/1996, de 12 de abril, y la Ley 1/2000, de 7 de enero, de enjuiciamiento civil, en las modificaciones que realiza del artículo 25.1, párrafo segundo en cuanto dispone “dicha compensación, con cargo a los presupuestos generales del Estado, estará dirigida a compensar los derechos de propiedad intelectual que se dejaran de percibir por razón del límite legal de copia privada” y del artículo 25.3, inciso “y contará con una consignación anual en la Ley de Presupuestos Generales del Estado”, ambos del texto refundido de la Ley de propiedad intelectual, aprobado por Real Decreto Legislativo 1/1996, de 12 de abril.</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La impugnación de la Ley 36/2014, de 26 de diciembre, de presupuestos generales del Estado para el año 2015, en cuanto a la aprobación del crédito presupuestario 18.321M.13.484,</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presente recurso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febrero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