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5685-2016, promovido por don César Rodríguez Vázquez, representado por la Procuradora de los Tribunales doña Laura-Argentina Gómez Molina y asistido por el Abogado don Andrés Aguilera Herrera, contra el Auto de 21 de julio de 2016 de la Sala de lo Penal del Tribunal Supremo, que desestimó la pretensión de declaración de prescripción del delito por el que el recurrente fue condenado, manteniendo en sus propios términos la Sentencia núm. 749/2015 de la misma Sala, de 13 de noviembre de 2015, que condenó al recurrente como autor de un delito de blanqueo de capitales imprudente tras estimar el recurso de casación núm. 601-2015, planteado contra la Sentencia de la Sección Segunda de la Sala de lo Penal de la Audiencia Nacional, de 16 de febrero de 2015, dictada en el procedimiento abreviado núm. 192-2011.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octubre de 2016, la Procuradora de los Tribunales doña Laura-Argentina Gómez Molina, en nombre y representación de don César Rodríguez Vázquez y bajo la dirección del Letrado don Andrés Aguilera Herrera, interpuso demanda de amparo contra las resoluciones que se mencionan en el encabezamiento de esta Sentencia. Por otrosí se solicitó la suspensión de la ejecución de la pena impuesta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Sentencia de la Sección Segunda de la Sala de lo Penal de la Audiencia Nacional de 16 de febrero de 2015 como autor de un delito de blanqueo de capitales doloso (art. 301 del Código penal: CP según redacción al tiempo de los hechos, previa a la reforma operada por la Ley Orgánica 5/2010), sin circunstancias modificativas de su responsabilidad, a la pena de tres años y tres meses de prisión, con la accesoria de inhabilitación para el derecho de sufragio pasivo durante el tiempo de la condena, y multa de 120.000 €, así como al pago de las costas que le correspondiesen. El resto de acusados fue condenado a las penas solicitadas en el escrito de modificación de conclusiones presentado al comienzo de la vista del juicio, con las que los mismos habían manifestado su conformidad. Uno de ellos lo fue como autor de un delito imprudente de blanqueo y el resto, como autores de un delito de blanqueo doloso.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probados refieren la existencia de un entramado familiar organizado a lo largo de los años (al menos desde el año 2000) para blanquear los beneficios procedentes del tráfico de drogas al que se dedicaba alguno de sus miembros. El lavado del dinero obtenido de dicho tráfico ilícito se llevaba a cabo a través de una estructura compleja en la que se distingue una trama personal y otra empresarial. La trama personal, que se identifica como el clan o grupo familiar “Ferramache”, se componía de un núcleo principal que constituía la estructura propiamente relacionada con la actividad de blanqueo de capitales, integrado por diversos parientes, que, cuando lo consideraban necesario, recurrían a los servicios prestados como testaferros por los demás acusados, algunos con vínculos familiares y otros no, terceros entre los que se sitúa al demandante de amparo. La trama empresarial se integraba por las sociedades constituidas por todos o algunos de los componentes del núcleo principal de la trama personal, que, a su vez, también se valía del grupo de testaferros. En los hechos probados de la Sentencia de la Audiencia Nacional se describe asimismo la actividad económica susceptible de integrar el delito de blanqueo de capitales, constando que tiene lugar mediante la realización de numerosas operaciones entre los años 2002 y 2011, incoándose diligencias previas por el Juzgado de Instrucción núm. 1 de Sanlúcar la Mayor el 28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recurrente, los hechos probados lo sitúan dentro del entramado entre las “personas físicas con tipología propia de testaferro”, pero no como miembro de “la estructura propiamente relacionada con la actividad de blanqueo de capitales”. Su contribución al blanqueo se detalla en el siguiente episodio: a pesar de sus escasos ingresos (revisados de 2002 a 2010), cuyo importe en el año 2003 no alcanzó los 15.000 €, compró el 14 de agosto de 2003, mediante el otorgamiento de la escritura pública correspondiente, una finca rústica con vivienda en el precio de 150.000 €, que vendió, también en escritura pública, el 27 de octubre de 2004 y en el precio de 180.000 € a María Dulcinea Canela Vázquez, una de las acusadas integrante de la estructura para blanquear, que protagoniza acciones de lavado anteriores y posteriores a la mencionada operación mercantil. Según se expone en el relato fáctico, fue esa acusada la que facilitó al señor Rodríguez Vázquez el dinero, procedente del comercio ilícito de la droga, necesario para que hiciera frente al pago de las cantidades que se debían abonar hasta que ella figurase como titular de la finca, lo que ocurrió más de un año después, si bien la ocupó en los quince días siguientes a su adquisición por el demandante. No hay referencia o mención al recurrente en el extenso relato fáctico adicional al episodio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demandante de amparo interpuso recurso de casación contra dicha Sentencia alegando, como primer motivo, la vulneración del derecho a la presunción de inocencia, por no haberse probado que conociera la procedencia del dinero con el que se pagó la finca; y, como segundo motivo, en conexión con tal desconocimiento y con carácter subsidiario para el caso de que no se absolviera, la inaplicación del artículo 301.3 CP, que tipifica el delito imprudente de blanqueo de capitales. En el párrafo final del segundo motivo se añade que esa calificación debía llevar igualmente a la absolución “por encontrarse el delito imprudente prescrito al haber transcurrido más de tres años ex artículo 131.1 del Código Penal anterior a la reforma de la L.O 5/2010, de 22 de junio que entró en vigor el día 23 de diciembre de 2010; o haber transcurrido 5 años si se quiere aplicar la reforma en base al artículo 131.1, párrafo 4 del Código Penal”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la Sala de lo Penal del Tribunal Supremo de 13 de noviembre de 2015 se estimó el recurso de casación del recurrente, al entender que está acreditado que el dinero para la adquisición de la finca fue aportado por la compradora final y procedía del tráfico de drogas, pero no lo está el conocimiento del origen ilícito del dinero por el demandante. El Tribunal dictó segunda Sentencia en la que le condenó como autor de un delito de blanqueo de capitales en su modalidad impudente (art. 301.3 CP) a la pena de un año de prisión, con la accesoria de inhabilitación especial para el derecho de sufragio pasivo durante el tiempo de la condena, y multa de 120.000 €, con doce días de arresto personal subsidiario en caso de impago, así como al pago de las costas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14 de enero de 2016 la representación procesal del demandante de amparo solicitó la aclaración o la integración de la Sentencia anterior para que se declarase la prescripción del delito planteada en el recurso de casación, ya que, habiendo sido condenado por un delito imprudente de blanqueo de capitales, habían transcurrido más de tres o cinco años desde su comisión cuando se inició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denegó por Auto de 5 de febrero de 2016 la aclaración solicitada por el condenado. En él se argumenta que, “ningún motivo propuso con el alcance casacional preciso acerca de tal cuestión, limitándose el recurrente a solicitar ‘por infracción de ley a tenor del artículo 849, número 1 de la LECrim, por inaplicación del artículo 301.3 del Código Penal’, esto es, solicitaba la subsunción de su conducta como delito de blanqueo imprudente. Únicamente, al final del desarrollo del motivo, adujo el transcurso de más de tres o cinco años, sin conectar tal invocación con ámbito temporal alguno, es decir, sin establecer cuál sería ni el dies a quo ni el dies ad quem. Siendo ello así, en la sentencia recurrida, y obsérvese que el motivo ha sido formalizado por estricta infracción de ley, no consta elemento temporal alguno de donde deducir la prescripción del delito. Al contrario, existen referencias a ‘una exhaustiva investigación patrimonial por el Servicio de Vigilancia Aduanera de Sevilla, en unión con la Guardia Civil’ (página 5 de la sentencia recurrida). Además, el delito por el que ha sido condenado el recurrente se enmarca dentro de una inmensa operación de investigación sobre actividades de blanqueo de capitales, con multitud de acusados, la mayoría de los cuales resultaron condenados por su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22 de febrero de 2016, la representación procesal del demandante de amparo promovió un incidente de nulidad de actuaciones para reparar la vulneración de los derechos fundamentales de su defendido que guardan relación con la denegación de la prescripción del delito por el que fue condenado conforme a las normas vigentes al tiempo de cometerse los hechos (art. 17, 24.1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4 de abril de 2016, se estimó el incidente de nulidad de actuaciones, en tanto “la prescripción actúa a favor del reo en cualquier momento del proceso, y es incluso acogible de oficio”, y se acordó declarar la nulidad parcial de la Sentencia y dar traslado a la parte promotora y al Ministerio Fiscal para que se pronunciaran sobre el exclusivo aspecto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del Tribunal Supremo de 21 de julio de 2016, notificado el 15 de septiembre de 2016, se rechazó finalmente la prescripción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motivación de esa decisión, la Sala señala que la improsperabilidad de la petición de prescripción entronca con el hecho de que la conducta del recurrente “se enmarca en una compleja investigación, de la que resultan condenadas siete personas y disueltas ocho sociedades mercantiles junto a los decomisos que se decretan”. A su juicio, el relato de hechos probados muestra que, aunque formalmente la conducta del recurrente se refiere a la operación de compra y posterior venta en octubre de 2004, los hechos se enmarcan entre los años 2002 a 2010, pues así lo indica la referencia en él a que “en los hechos que van de 2002 a 2010, los únicos ingresos que le constan...”, que carecería de sentido en relación con la operación aislada de 2004 y que viene avalada por la afirmación también contenida en el factum de que dentro del entramado actuó como testaferro del grupo. Asimismo en atención a esa complejidad, el Tribunal Supremo hace suya expresamente “la acertada argumentación del Ministerio Fiscal para solicitar el rechazo del motivo ‘de plano’, y ello con amplia cita jurisprudencial (Sentencias, entre otras, 984/2013, de 17 de diciembre de 2013, 1 de febrero de 1999 y 26 de marzo de 2013), en tanto que ‘el planteamiento del recurrente adolece del error de entender su conducta aisladamente, prescindiendo del hecho probado que incardina su actuación, en la realizada por los otros acusados y más concretamente por Dulce Canela Vázquez, lo que determina la conexidad de delitos que obsta para la apreciación de la prescripción que se interesa’, citando, al efecto, nuestro Acuerdo Plenario de 26 de octubre de 2010. Y ello tanto desde la perspectiva de que no puede considerarse aisladamente la conducta del señor César Rodríguez Vázquez, como desde el plano de la conexidad procesal con la que ha sido juzgado todo ese complejo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plantea como motivo único de amparo la vulneración del derecho a la tutela judicial efectiva del artículo 24.1 CE y del derecho a la legalidad penal del artículo 25.1 CE en conexión con 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pone de manifiesto que, conforme al artículo 132.1 CP, la prescripción penal se inicia con la fecha de comisión del delito y que se le ha condenado por una única operación de blanqueo, realizada el 27 de octubre de 2004, fecha en la que vende la finca con vivienda a una de las acusadas. Desde esa constatación concluye que el delito de blanqueo imprudente estaría ostensiblemente prescrito con base en el plazo de prescripción de tres años del artículo 131.1 CP entonces vigente, incluso si se fija el momento de interrupción de la prescripción en el inicio de las diligencias previas, 28 de junio de 2011, aun cuando solo más adelante aparece en las mismas. A su entender, la toma como referencia para computar el plazo de prescripción del margen temporal entre 2002 y 2010 es contraria a la tutela judicial efectiva y al principio de legalidad en conexión con el derecho a la libertad, citando numerosa jurisprudencia constitucional. En primer lugar, porque no hay pruebas de que su intervención se extendiera más que a la operación puntual de compraventa, sin que los hechos probados refieran otra actuación de blanqueo por su parte, como sí se recoge respecto a otros condenados. En segundo lugar, porque no es de recibo, conforme la prohibición constitucional de interpretar las normas sobre prescripción en contra de reo, atender para fijar el dies a quo o para ampliar el plazo de prescripción a lo que otras personas con las que no tiene nada que ver hayan realizado durante ese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 la demanda se identifica con la ocasión que ofrece al Tribunal para aclarar o cambiar su doctrina, como consecuencia de un proceso de reflexión interna, respecto al hecho de que una persona que únicamente ha cometido una acción de forma aislada en un entramado delictivo tenga que sufrir la aplicación del cómputo del plazo de prescripción partiendo del acto cronológico último que hayan cometido otras personas con las que no tenía relación alguna. Se pone en relación ese supuesto con el que analizó la STC 37/2010, de 19 de julio, que fija como infracción que ha de ser tenida en cuenta para fijar el plazo de prescripción aquella por la que finalmente se condena, al margen de las calificaciones manejadas en el procedimiento. Se subraya específicamente la afirmación entonces vertida de que “[d]e lo contrario, se haría recaer y soportar sobre la persona sometida a un proceso penal los plazos de prescripción correspondientes a una infracción penal que no habría cometido y de la que, por lo tanto, tampoco habría de ser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La Sección Cuarta de este Tribunal, por providencia de 9 de marzo de 2017, acordó admitir a trámite la demanda de amparo tras apreciar que ofrece especial trascendencia constitucional (art. 50.1 de la Ley Orgánica del Tribunal Constitucional: LOTC) porque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LOTC, también se acordó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providencia se acordó asimismo la formación de la pieza separada de suspensión. Por Auto de 18 de abril de 2017, la Sala Segunda de este Tribunal acordó suspender la ejecución de la pena privativa de libertad de un año de prisión y la accesoria de privación del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16 de mayo de 2017, acordó dar vista de las actuaciones a la parte recurrente y al Ministerio Fiscal por plazo común de veinte días para presentar las alegaciones que estimasen pertinentes, de conformidad con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19 de junio de 2017, presentó alegaciones en las que se ratifica íntegramente en su demanda de amparo, que da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registrado el 20 de junio de 2017, interesó que se otorgara el amparo por vulneración de los derechos a la tutela judicial efectiva (art. 24.1 CE), en relación con el derecho a la libertad (art. 17.1 CE) y con el derecho a la legalidad penal (art. 25.1 CE), anulando los Autos de la Sala Segunda del Tribunal Supremo de 5 de febrero y de 21 de julio de 2016 y retrotrayendo las actuaciones al momento inmediatamente anterior a que se dictara el primero de dichos Autos, que entiende impugnado aunque no se recurriera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resulta jurídicamente irrelevante el argumento aducido en los dos Autos de que el condenado no articuló un motivo de casación específico sobre la prescripción, por cuanto se trata de una cuestión susceptible de ser apreciada de oficio, sin que sea precisa su previa petición o alegación. Descarta también de raíz que pueda dar cobertura a la decisión de rechazarla, regida por el principio de legalidad, la aplicación invocada en el Auto denegatorio de doctrina jurisprudencial o de una decisión emanada de un Pleno no jurisdiccional de la Sala Segunda del Tribunal Supremo, como si fuesen de aplicación preferente a la legislación reguladora de la materia. Por último y con más detenimiento, manifiesta la inadecuación de los razonamientos ofrecidos en el Auto de 21 de julio de 2016 que apelan a la complejidad de los hechos en los que participó el demandante de amparo y atienden al dato de que hayan sido objeto de un solo procedimiento o de que exista una relación de conexión entre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recuerda que las reglas sobre prescripción reflejan una autolimitación o renuncia del Estado al ejercicio del ius puniendi que viene definido en el régimen legal vigente (arts. 131 y 132 CP), sin que sea posible la utilización de criterios interpretativos que extiendan el alcance de la ley más allá de los casos previstos en la misma, como se establece en el artículo 4.1 CP. La duración de dichos plazos depende de la gravedad de la pena con la que esté conminada la ejecución del delito en cada caso, con las únicas excepciones previstas en la ley de los supuestos de concurso o de infracciones conexas (art. 131.4 CP) y de delito continuado, permanente o habitual (art. 132.1 CP). En tal medida, no considera admisible justificar la aplicación al autor de un delito imprudente del plazo de prescripción previsto para el mismo delito cometido dolosamente, de mayor duración conforme a la ley, por el hecho de que la actuación del recurrente se hizo en favor de una de las integrantes del grupo, condenada por delito doloso de blanqueo. Tampoco entiende que pueda justificarse el rechazo a la prescripción por el hecho de que el entramado personal de blanqueo estuviera actuando durante años y se haya calificado al demandante de amparo como testaferro en ese grupo, fijando el dies a quo en el momento de los últimos hechos objeto de la investigación policial (2011), porque no consta probado que el mismo interviniera en hechos posteriores a los otorgamientos de escritura pública de compra y de venta que tuvieron lugar en los años 2003 y 2004 respectivamente. Y esas carencias, remarca, no pueden suplirse por la referencia a la unidad procedimental o a la complejidad de la investigación, de la que no cabe extraer consecuencias para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descarta la referencia a la relación de conexión entre las infracciones que constituyen el objeto del proceso como elemento determinante de un régimen particular de prescripción conforme al artículo 131.4 CP en su redacción actual, antes en el artículo 131.5 CP, que obliga a tomar el plazo correspondiente al delito más grave, puesto que no existe tal conexidad en el caso. A su juicio, para que pueda hablarse de conexión procesal, el artículo 17 de la Ley de enjuiciamiento criminal exige la existencia de dos o más infracciones o hechos punibles, con independencia del número de hechos naturales que integren el objeto del proceso, pero en el presente asunto se entendió que la multiplicidad de hechos registrados en el relato fáctico integraba un solo delito de blanqueo de capitales, por lo que no es posible hablar de conexión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marzo de 2018, se señaló para deliberación y fallo de la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recurso de amparo el Auto de Sala de lo Penal del Tribunal Supremo de 21 de julio de 2016 (recurso de casación núm. 601-2015), que desestimó la pretensión de declaración de prescripción del delito de blanqueo imprudente por el que el recurrente fue condenado por Sentencia de la misma Sala de 13 de noviembre de 2015, tras estimarse el recurso de casación planteado contra la Sentencia de la Sección Segunda de la Sala de lo Penal de la Audiencia Nacional de 16 de febrero de 2015, dictada en el procedimiento abreviado núm. 192-2011.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vulnerado su derecho a la tutela judicial efectiva (art. 24.1 CE) en relación con el derecho a la libertad (art. 17 CE) y con el derecho a legalidad penal (art. 25.1 CE), en tanto se denegó que el delito por el que fue condenado hubiera prescrito con argumentos carentes de respaldo en los hechos probados y en los preceptos legales que regulan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por vulneración de los derechos invocados, ya que el criterio interpretativo sostenido por el Tribunal Supremo —que supuso aplicar el régimen de la prescripción de las infracciones conexas a quien había sido condenado por delito imprudente junto a otras personas que participaron en forma dolosa en la ejecución del mismo delito— no puede entenderse amparado en la literalidad de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se contrae a determinar si, como sostiene el demandante, con apoyo del Ministerio Fiscal, el Tribunal Supremo vulneró su derecho a la tutela judicial efectiva (art. 24.1 CE) en relación con los derechos a la libertad (art. 17 CE) y a la legalidad penal (art. 25.1 CE) al denegar su pretensión de prescripción del delito por el que fue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entendimiento de la figura de la prescripción acogido en la STC 157/1990, de 18 de octubre, la STC 63/2001, de 17 de marzo, fijó el canon de enjuiciamiento constitucional aplicable en el examen de las decisiones aplicativas de la prescripción del delito, y junto a las posteriores SSTC 63/2005, de 14 de marzo, y 29/2008, de 20 de febrero, diseñan el marco de la actual doctrina constitucional sobre la institución. Al respecto se ha pronunciado después este Tribunal en numerosas ocasiones (entre otras muchas, y por citar algunas recientes SSTC 32/2013, de 11 de febrero; 51/2016, de 14 de marzo, o 138/2016, de 18 de julio). Existe también un importante número de resoluciones que trasladan con las debidas peculiaridades la concepción constitucional sobre la prescripción del delito a la prescripción de la pena (por todas, SSTC 97/2010, de 15 de noviembre, y 81/2014, de 28 de mayo), de la que se ha ocupado más intensamente este Tribunal en los últimos tiempos (entre otras, SSTC 63/2015, de 13 de abril; 12/2016, de 1 de febrero, o 14/2016, de 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su dilatada vigencia, conviene recordar la doctrina constitucional sentada por este Tribunal acerca del alcance del control externo que puede ejercer sobre las resoluciones judiciales dictadas en materia de prescripción del delito, y hacerlo de la mano de la STC 37/2010, traída por el recurrente y que sintetiza la doctrina relativa a la prescripción de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apreciación en cada caso concreto de la prescripción como causa extintiva de la responsabilidad criminal es, en principio, una cuestión de legalidad que corresponde decidir a los tribunales ordinarios y que carece, por su propio contenido, de relevancia constitucional. No obstante, la aplicación de dicho instituto en el caso concreto puede ser objeto de examen constitucional en sede de amparo, porque la prescripción penal supone una autolimitación o renuncia del Estado al ius puniendi por el transcurso del tiempo, que encuentra también fundamento en principios y valores constitucionales, pues toma en consideración la función de la pena y la situación del presunto inculpado, su derecho a que no se dilate indebidamente la situación que supone la virtual amenaza de una sanción penal, con una justificación constitucional propia en el principio de seguridad jurídica (STC 37/2010, FJ 2; con cita de las SSTC 63/2005, de 14 de marzo, FJ 2; 29/2008, de 20 de febrero, FJ 7, y 79/2008,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canon aplicable para proceder, en su caso, a la revisión de una decisión judicial sobre prescripción es el propio del artículo 24 CE, si bien, dada la trascendencia de los valores constitucionales en juego en la aplicación del Derecho penal, el estándar de las exigencias derivadas del deber de motivación es más riguroso en estos casos al afectar a los derechos fundamentales a la libertad y a la legalidad penal de quien invoca la causa extintiva de la responsabilidad penal (por todas, STC 63/2001, FJ 7). La decisión que desestima una pretensión de prescripción de una infracción penal debe contener un razonamiento expresivo de los elementos tomados en cuenta por el órgano judicial al interpretar las normas relativas a la institución —que, por otra parte, distan mucho de ser diáfanas—, en el entendimiento de que esa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que sea respetuosa con los fines perseguidos por el instituto de la prescripción penal (STC 37/2010, FJ 2, con cita de las SSTC 63/2005, de 14 de marzo, FJ 3; 29/2008, de 20 de febrero, FJ 7; 60/2008, de 26 de mayo, FJ 8; 79/2008, de 14 de julio, FJ 2, y 129/2008, de 27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los fines de la institución, este Tribunal tiene declarado que “el establecimiento de un plazo temporal para que el Estado pueda proceder a perseguir las infracciones penales persigue a su vez que no se produzca una latencia sine die de la amenaza penal que genere inseguridad en los ciudadanos respecto del calendario de exigencia de responsabilidad por hechos cometidos en un pasado más o menos remoto. Dicho con otras palabras, el plazo de prescripción toma en consideración la función de la pena y la situación del presunto inculpado, su derecho a que no se dilate indebidamente la situación que supone la virtual amenaza de una sanción penal, de manera que lo que la existencia de la prescripción penal supone es que la infracción penal tiene un plazo de vida, pasado el cual se extingue toda posibilidad de exigir responsabilidades por razón de su comisión. Pero también obedece a la esencia de la propia amenaza penal, que requiere ser actuada de forma seria, rápida y eficaz, a fin de lograr satisfacer las finalidades de prevención general y de prevención especial que se le atribuyen.” (STC 37/2010, FJ 2, con cita de las SSTC 63/2005, de 14 de marzo, FJ 4, y 79/2008,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ya se señaló, el control constitucional se ciñe a verificar si la interpretación seguida por el órgano judicial se compadece con la esencia y fundamento de la prescripción y satisface la exigencia constitucional de que toda decisión judicial adoptada en esta materia manifieste un nexo de coherencia con la norma que le sirve de fundamento y con los fines que justifican la existencia de esa causa extintiva de la responsabilidad penal. Al respecto, el Tribunal ha tenido ocasión de precisar, de un lado, que, al estar en juego el derecho a la libertad sometido al principio de legalidad, la interpretación no puede exceder el tenor literal de los preceptos aplicables ni es admisible una interpretación restrictiva contra reo carente del necesario rigor en relación con el tenor literal de la norma que le sirve de fundamento y con los fines de la prescripción (STC 29/2008, de 20 de febrero, FFJJ 10 y 12, y 37/2010, FJ 5). De otro lado, en cuanto a la incidencia de los fines que justifican la existencia de la prescripción, ha especificado que “si constituye ‘una renuncia o autolimitación del Estado al ius puniendi’, que tiene como efecto no la prescripción de la acción penal para perseguir la infracción punitiva, sino la de esta misma, … la determinación de las previsiones legales aplicables sobre la prescripción han de ser las correspondientes no al título de imputación … sino a la infracción de la que resulta penalmente responsable, es decir, la infracción penal que hubiera cometido y por la que habría de ser condenado de no concurrir la prescripción como causa extintiva de la responsabilidad penal. De lo contrario, se haría recaer y soportar sobre la persona sometida a un proceso penal los plazos de prescripción correspondientes a una infracción penal que no habría cometido y de la que, por lo tanto, tampoco habría de ser responsable” (STC 37/2010,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aplicar los referidos parámetros de examen constitucional de la cuestión debatida, se impone un recordatorio de los hechos relevantes para tal decisión y algunas precisiones sobre la normativa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con mayor detalle en los antecedentes, los hechos probados refieren la existencia de un entramado organizado para blanquear los ingresos procedentes del narcotráfico al que se dedicaban algunos miembros del clan familiar, con la descripción de numerosas operaciones y actividades que alcanzan hasta el año 2011, en que se concluye la investigación policial, incoándose diligencias previas por el Juzgado de Instrucción núm. 1 de Sanlúcar la Mayor el 28 de junio de 2011. En ese relato, los hechos que conciernen al recurrente, cuyo papel en la estructura de lavado se juzga de testaferro, se ciñen a una concreta operación simulada de adquisición y posterior venta de una finca a una de las acusadas artífice de la estructura que se realizó entre el 2003 y el 2004, que se calificó en la instancia como autoría de un delito de blanqueo doloso y finalmente en casación como autoría de un delito de blanqueo imprudente del artículo 301.3 CP. La actuación del resto de acusados, todos los cuales mostraron conformidad en la instancia y reconocieron los hechos, fue calificada, salvo en un caso, como autoría de un delito de blanqueo de capitales doloso del artículo 301.1 CP, incluidas las diversas acciones atribuidas a la coacusada con la que realizó la transacción el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normativa sobre prescripción concernida, debe tenerse presente que la redacción del artículo 131 CP vigente en el momento de los hechos que concretamente se atribuyen al recurrente, años 2003 y 2004, establecía, dentro del régimen general que fija el termino prescriptivo en función de la gravedad del delito determinada por la gravedad de la pena, un plazo de prescripción para el delito de blanqueo imprudente de tres años, mientras que el delito de blanqueo doloso tenía un plazo prescriptivo de diez años (art. 131.1 en relación con los arts. 301.1 y 301.3 CP, respectivamente). Por su parte, el artículo 132.1 CP disponía, como ahora, que “[l]os términos previstos en el artículo precedente [plazos] se computarán desde el día en que se haya cometido la infracción punible. En los casos de delito continuado, delito permanente, así como en las infracciones que exijan habitualidad, tales términos se computarán, respectivamente, desde el día en que se realizó la última infracción, desde que se eliminó la situación ilícita o desde que cesó la conducta”. No se contemplaba entonces una regla como la del actual artículo 131.4 CP (redacción fruto de la Ley Orgánica 1/2015, en vigor a partir del 1 de julio de 2015), introducida por primera vez como número 5 del artículo 131 CP por la Ley Orgánica 5/2010 (en vigor a partir del 23/12/2010), donde se fija como plazo de prescripción en los supuestos de concurso de infracciones o de infracciones conexas el que corresponda al delito más grave. Esa innovación normativa carece de reflejo en el debate procesal acaecido, cuyo objeto es determinar si puede afirmarse la extinción de la responsabilidad criminal del demandante por el delito de blanqueo imprudente conforme a las reglas sobre prescripción previstas al tiempo de suceder los hechos, esto es, en la redacción anterior a la reforma introducida por la Ley Orgánica 5/2010, que fue la que asimismo se aplicó para calificar los hechos en la instancia. En buena lógica, el precepto tampoco tiene reflejo en la motivación de la decisión judicial final denegatoria impugnada, que es la que corresponde revisar externamente en este proceso constitucional, lo que, por lo demás, está en consonancia con la tradicional posición del Tribunal Supremo de rechazar la aplicación retroactiva de las normas reguladoras de la prescripción salvo que su contenido sea favorable (por todas, STS 101/2012,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antes expuesta, de los hechos descritos y de la normativa concernida, deben examinarse los argumentos ofrecidos por el Tribunal Supremo para rechazar la prescripción del delito de blanqueo imprudente por el que se condenó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ofrecido por el Tribunal Supremo para descartar la extinción de la responsabilidad criminal del recurrente por prescripción parte del presupuesto jurídico, derivado de una reiterada posición jurisprudencial de dicho órgano —hecha expresa en la resolución impugnada con cita de las STS 984/2013, de 17 de diciembre de 2013, 1 de febrero de 1999 y 26 de marzo de 2013 y del acuerdo Plenario de 26 de octubre de 2010— de que en los delitos conexos se tomará en consideración el delito más grave declarado cometido para fijar el plazo de prescripción del conjunto punitivo enjuiciado. A partir de esa premisa y ya desde una perspectiva fáctica, apela a la complejidad de la investigación, con implicación de numerosas personas y acciones, que impide considerar de forma separada a efectos de prescripción del episodio de la compraventa. La actuación del demandante tendría en realidad una extensión temporal mayor que el puntual negocio de compra y venta de la finca (años 2003 y 2004), pues se enmarca entre los años 2002 a 2010, como pone de manifiesto la mención en los hechos probados a que “también actúa como testaferro del grupo” y a que “en los hechos que van de 2002 a 2010, los únicos ingresos que le constan...”, afirmaciones que carecerían de sentido en relación con la operación aislada de 2004. De ahí concluye que el planteamiento del recurrente adolece del error de entender su conducta prescindiendo del hecho probado que incardina su actuación en la realizada por los otros acusados, singularmente en la conducta y el delito de la coacusada que intervino en dicha transacción, lo que determina la conexidad de delitos que obsta para la apreciación de la prescripción que se interesa tanto desde la perspectiva de que no puede considerarse aisladamente su conducta como desde el plano de la conexidad procesal con la que ha sido juzgado todo ese complejo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controvierte en su demanda de amparo la posición jurisprudencial del Tribunal Supremo de que en los delitos conexos se tome en consideración para determinar el comienzo del cómputo del plazo de prescripción el conjunto punitivo enjuiciado. Alega que se ha vulnerado su derecho a la tutela judicial efectiva al haberse hecho aplicación de dicha jurisprudencia cuando el delito de blanqueo de capitales imprudente por el que ha sido condenado está desconectado del complejo de conductas desarrolladas por el resto de acusados y el entramado societario, quedando su intervención limitada a una operación puntual de compraventa, aislada en el tiempo en los años 2003 y 2004, sin que en los hechos probados se refiera cualquier otra actuación por su parte, como sí se recoge respecto a otros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externa de control que corresponde proyectar a este Tribunal en este tipo de procedimientos de amparo, bajo la invocación del deber reforzado de motivación de instituciones vinculadas a la libertad personal y a la legalidad penal, hay que concluir que el proceso argumental a partir del cual la resolución judicial impugnada concluye que el plazo de prescripción del delito cometido por el recurrente no habría prescrito, tal como alega el demandante y es defendido por el Ministerio Fiscal, incurre en una vulneración del derecho a la tutela judicial efectiva (art. 24.1 CE) en relación con los derechos a la libertad personal (art. 17.1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hechos probados no existe referencia alguna a una actividad de blanqueo o a cualquier otra intervención por parte del demandante que trascienda la operación de compraventa finalizada en octubre de 2004, a diferencia de las múltiples actuaciones que se describen respecto a otros acusados. No puede ayudar a superar ese obstáculo el dato de que se mencione en el factum que se revisaron sus ingresos entre los años 2002 y 2010, pues es obvio que la apertura de una investigación patrimonial respecto a ese período y, como fue el caso, el resultado relativo a los escasos ingresos en el citado intervalo no es constitutivo de un ilícito penal de blanqueo ni de ningún otro. Y tampoco sostiene esa extensión de su participación en la trama su categorización como testaferro de la organización, a la que también recurre la Sala. El calificativo resulta quizá aplicable al demandante por su actuación de compra y venta de la finca, pero no supone un elemento definitorio del sujeto como autor del delito más allá de esa conducta en ausencia de ulteriores datos que acrediten una aportación posterior efectiva en la estructura de blanqueo, en calidad de testaferro o en otra. Incluso el razonamiento del órgano judicial en el que se sostiene la calificación de su conducta como delito imprudente se opone a la idea de que fuera testaferro de la organización y blanqueara ingresos del clan durante ocho años. Allí el debate sobre el carácter doloso o imprudente de su actuación se identifica con la acreditación del conocimiento, las dudas fundadas o solo la ignorancia superable por parte del recurrente acerca del origen ilícito del dinero con que se financió la adquisición y venta de la finca, como asimismo se debatió en la primera instancia, sin atender a intervención posterior alguna del demandante en los múltiples hechos y operaciones mercantiles dirigidas a blanquear las ganancias ilícitas. En suma, el argumento que apela a la existencia de una actuación delictiva temporalmente extendida por parte del recurrente es irrazonable, ya que lo es la interpretación de los hechos probados en que se asienta, y, en tal medida, resulta constitucionalmente censurable.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relación con esa imposibilidad de construir la conexión que funda el rechazo de la prescripción a partir de los hechos probados opera el dato de que la conducta del recurrente está delimitada de forma objetiva y subjetiva y constituya de forma autónoma un delito de blanqueo imprudente ya perfeccionado, al margen de la calificación de la conducta de la otra acusada para quien compró la finca y del hecho de que se trate de dos conductas que convergen en el resultado material de blanqueo. La consideración como un solo delito a efectos de prescripción de tipos delictivos tan claramente diferenciados como los concurrentes en el caso excede el más directo significado gramatical de los preceptos legales aplicados (arts. 131.1 y 132.1 CP), que disponen la extinción del delito en tanto transcurra el término prescriptivo señalado en función de su gravedad y no por la gravedad de otro delito coetáneo cometido por otra persona que está subjetivamente desconectado. Por ello, como también aprecia el Ministerio Fiscal en sus alegaciones, hay que afirmar que en este caso se ha hecho una aplicación del instituto de la prescripción irrazonable, que al estar incursa en un defecto de motivación con relevancia constitucional, debe llevar a apreciar la vulneración del artículo 24.1 CE en relación con los derechos a la libertad (art. 17.1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y el otorgamiento del amparo por la mencionada vulneración conducen a anular la resolución recurrida y a retrotraer las actuaciones, a fin de que sean los órganos de la jurisdicción ordinaria quienes se pronuncien, de forma respetuosa con el derecho fundamental, respecto a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César Rodríguez Vázquez.</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sin indefensión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anular el Auto de la Sala Segunda del Tribunal Supremo de 21 de julio de 2016, dictado en el recurso de casación núm. 601-2015, retrotrayendo las actuaciones al momento anterior a su pronunciamiento a fin de que se dicte otra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5685-2016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que considero hubiera debido ser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sin controvertir la posición jurisprudencial del Tribunal Supremo de que en los delitos conexos se tome en consideración para determinar el comienzo del cómputo del plazo de prescripción el conjunto punitivo enjuiciado, ha concluido que la resolución impugnada ha vulnerado el derecho del artículo 24.1 CE, en relación con los derechos a la libertad (art. 17.1 CE) y a la legalidad penal (art. 25.1 CE), por la concreta aplicación que de dicha doctrina se ha hecho respecto de la conducta del recurrente. El argumento esencial ha sido que los hechos probados no refieren ninguna intervención por parte del demandante que trascienda la operación de compraventa finalizada en octubre de 2004, por lo que resulta irrazonable la afirmación de que existe una actuación delictiva temporalmente extendida por parte del recurrente, al carecer de base fáctica.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ese argumento de la ausencia de base fáctica del razonamiento judicial. La resolución impugnada, como también se reconoce por parte de la opinión mayoritaria en la que se sustenta la Sentencia, expuso que si bien la conducta por la que fue condenado el recurrente se refiere a una determinada operación de compra y sucesiva venta de una finca que se desarrolló en 2004, (i) su conducta se enmarca en una compleja investigación en la que han resultado condenadas siete personas y disueltas ocho sociedades mercantiles y que aparece referida a hechos que se desarrollan entre los años 2002 a 2010; y (ii) en los hechos probados de la Sentencia de instancia se pone de manifiesto su carácter de testaferro del grupo Fermache y se menciona la circunstancia de la inexistencia de ingresos en los años objeto de investigación 2002 a 2010, lo que serían afirmaciones que carecerían de sentido en relación con la operación aislada de 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externa de control que corresponde proyecta a este Tribunal en este tipo de procedimientos de amparo bajo la invocación del deber reforzado de motivación de instituciones vinculadas a la libertad personal, no cabe considerar incurso en ningún defecto constitucional de motivación el citado razonamiento, ya que toma como presupuesto elementos y valoraciones fácticas contenidas en el apartado de hechos probados de la sentencia de instancia, que han quedado invariados en la de casación, sobre las que este Tribunal Constitucional no puede entrar a conocer por prohibirlo el artículo 44.1 b) de la Ley Orgánica del Tribunal Constitucional. De ese modo, más allá de las legítimas discrepancias que puedan expresarse en relación con la valoración efectuada por el órgano judicial sobre el carácter extendido de la participación del recurrente en todo el complejo de hechos enjuiciados, que quedan al margen del control de constitucionalidad, no puede apreciarse que la argumentación judicial responda a parámetros que resulten groseramente ilógicos por carecer de base fáctica.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la razón por la que considero que debía haberse desestimado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marzo de dos mil dieciocho.-Juan Antonio Xiol Ríos.-Firmado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