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5659-2017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5659-2017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siguientes preceptos de la Ley 2/2017, de 17 de febrero, de emergencia social de la vivienda de Extremadura: artículo 1.12, que da nueva redacción al artículo 54.3 de la Ley 3/2001; artículo 1.14, que añade un nuevo apartado l) al artículo 58 de la Ley 3/2001; artículo 2, y disposición transitoria primera.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siguientes apartados del artículo 1 de la Ley 2/2017, de 17 de febrero, de emergencia social de la vivienda de Extremadura: primero, que da nueva redacción al artículo 1.1 de la Ley 3/2001; tercero, en cuanto añade los apartados 13 y 15 al artículo 3 de la Ley 3/2001; cuarto, que añade un nuevo artículo 16 bis a la Ley 3/2001 y decimocuarto, que añade un nuevo apartado m) al artículo 58 de la Ley 3/2001.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noviembre de 2017 tuvo entrada en el registro general de este Tribunal el recurso de inconstitucionalidad interpuesto por la Presidenta del Gobierno en funciones, representada por el Abogado del Estado, contra el artículo 1, apartados primero (en cuanto modifica el artículo 1.1 de la Ley 3/2001, de 26 de abril, de la calidad, promoción y acceso a la vivienda de Extremadura), tercero (en cuanto a la incorporación de los apartados 13 y 15 al artículo 3 de la Ley 3/2001), cuarto (al añadir un nuevo artículo 16 bis a la Ley 3/2001), duodécimo y decimocuarto [en cuanto a la introducción de los apartados l) y m) en el artículo 58 de la Ley 3/2001]; el artículo 2 y la disposición transitoria primera de la Ley 2/2017, de 17 de febrero, de emergencia social de la vivienda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los artículos 161.2 CE y 30 de la Ley Orgánica del Tribunal Constitucional (LOTC) a fin de que se acordara la suspensión de la aplicación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diciembre de 2017, el Pleno, a propuesta de la Sección Cuarta, acordó: admitir a trámite el recurso de inconstitucionalidad; conforme a lo establecido por el artículo 34 LOTC; dar traslado de la demanda y documentos presentados al Congreso de los Diputados, al Senado, a la Junta de Extremadura y a la Asamblea de Extremadura, al objeto de que en el plazo de quince días pudieran personarse en el proceso y formular las alegaciones que estimaren convenientes; tener por invocado por el Presidente del Gobierno el artículo 161.2 CE, lo que, a su tenor y de conformidad con el artículo 30 LOTC, produce la suspensión de la vigencia y aplicación de los preceptos recurridos y publicar la incoación del recurso en el “Boletín Oficial del Estado” y en el “Diario Oficial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los días 22 de diciembre de 2017 y 7 de febrero de 2018, los Presidentes del Congreso de los Diputados y del Senado comunicaron los acuerdos de las Mesas de sus respectivas Cámaras de personarse en este procedimiento y ofrecer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 la Asamblea de Extremadura se personó en el proceso y formuló alegaciones mediante escrito registrado con fecha 4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Junta de Extremadura se personó en el proceso mediante escrito registrado el 11 de enero de 2018, solicitando prórroga del plazo para formular alegaciones, que le fue concedida mediante providencia del Pleno de la misma fecha, por plazo de ocho días a contar desde la expiración del plazo ordinario. Con fecha 16 de enero, tuvo entrada en el registro general de este Tribunal el escrito de alegaciones de la Junta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18 de enero de 2018, el Pleno acordó oír al Abogado del Estado, a la Junta de Extremadura y a la Asamblea de Extremadura para que, en el plazo de cinco días, expusieran lo que consideraran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registrado en este Tribunal el 30 de enero de 2018, interesó el mantenimiento de la suspensión de los preceptos impugnados. Tras recoger la doctrina constitucional sobre la resolución de esta clase de incidentes de suspensión, concreta los perjuicios que se derivarían del levantamiento de la suspensión en los términos que se sintetizan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informes que se acompañan como documentos núms. 1, 2 y 3 (Ministerio Economía y Competitividad, Banco de España y Secretaría de Estado de Economía y Apoyo a la Empresa) ofrecen las razones que avalan el mantenimiento de la suspensión de las normas impugnadas, teniendo exclusivamente en cuenta los perjuicios de imposible o difícil reparación que su eficacia puede producir. Todas estas instancias, así como la Comisión Europea y el sector financiero (así, las asociaciones que representan a bancos y cajas de ahorro), son unánimes a la hora de valorar negativamente el considerable impacto que esta medida tiene sobre la situación financiera de las entidades, el crédito hipotecario, el mercado de cédulas hipotecarias y los compromisos internacionales asumidos por España, fundamentalmente el memorando de entendimiento firmado el 20 de julio de 2012, y su seguimiento, en el marco de la ayuda financiera otorgada a nuestro país por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dichos informes se acreditan las consecuencias negativas para el interés público y para el sector financiero en caso de que se levantara la suspensión, resultando especialmente preocupante el impacto de la norma extremeña en la actividad y en el plan de negocio de la Sociedad de gestión de activos procedentes de la reestructuración bancaria (SAREB), instrumento clave del programa de reestructuración del sector financiero español derivado de los compromisos internacionales adquiridos por nuestro país en el marco de la asistencia financiera recibida en 2012, por el efecto acumulativo de las iniciativas autonómicas con el mismo contenido. En concreto, el levantamiento de la suspensión podría acarrear perjuicios de muy difícil reparación, por cuanto afecta de modo directo y expreso a la finalidad y actividad de la SAREB, cuyo éxito es garantía de que la reestructuración de las entidades de crédito, que se ha realizado en los últimos meses, se lleve a cabo mediante un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 eventual aplicación de los preceptos de la ley impugnada puede determinar un incremento de los costes de reestructuración asumidos por el Estado, sin añadir un mayor nivel de protección social a los deudores hipotecarios sin recursos respecto de la ya garantizada por la normativa estatal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proliferación de normas autonómicas similares ha ocasionado un impacto cada vez más amplio en la estabilidad del sistema financiero español. Tras enumerar las diferentes normas autonómicas similares a la aquí impugnada, recuerda el Abogado del Estado que el Tribunal ha acordado el mantenimiento de la suspensión de la mayoría de los preceptos impugnados en los AATC 69/2014, de 10 de marzo; 115/2014, de 8 de abril; 135/2015, de 21 de julio; 144/2016, de 19 de julio, y 160/2016, de 20 de septiembre. Aunque no corresponda en este incidente de suspensión plantear cuestiones sobre el fondo, se cita, como prueba del fumus boni iuris que el Tribunal ha utilizado en ocasiones para el mantenimiento de la suspensión de una ley, tanto los citados autos como la STC 93/2015, de 14 de mayo, FFJJ 17 y 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mantenimiento de la suspensión no causará perjuicio a las personas en situación de especial vulnerabilidad social, pues el Estado ha reaccionado ya ante esta realidad. La concurrencia de las medidas adoptadas por la Ley autonómica, lejos de coadyuvar al objetivo de mejorar la situación de las personas que no disponen de vivienda, puede resultar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examinar las normas dictadas por el Estado para proteger a los colectivos más vulnerables, señala el escrito que la norma extremeña —al igual que las precedentes normas autonómicas impugnadas— se diferencia fundamentalmente de las normas estatales en la estructura jurídica que soporta las medidas de protección. La normativa de ámbito nacional contempla la suspensión temporal de los procedimientos de ejecución, complementada con un esquema de adhesión voluntaria (código de buenas prácticas). Las normas autonómicas, por su parte, descansan en un procedimiento coercitivo (concretamente, en este caso, la previsión de un régimen sancionador sobre incumplimientos).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coexistencia de dos regímenes —estatal y autonómico— con idéntica finalidad, pero distinta articulación jurídica, hace previsible que surjan conflictos de aplicación, poniendo en riesgo tanto la deseable seguridad jurídica como la propia finalidad de protección perseguida por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irreparables al interés general que produciría el levantamiento de la suspensión constan en los informes aportados, antes citados, en los que se acredita que la aplicación de la ley impugnada es susceptible de causar graves perjuicios al sistema financiero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riesgo de incumplimiento de los compromisos de nuestro país de carácter internacional, pues si bien el memorando de entendimiento sobre condiciones de política sectorial financiera de 20 de julio de 2012 finalizó con éxito en enero de 2014, el Reino de España —mientras no devuelva, al menos, el 75 por 100 de la ayuda financiera recibida del mecanismo europeo de estabilidad— se encuentra dentro del denominado marco de vigilancia post-programa.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Comisión Europea ya señaló que el Decreto-ley 6/2013 de la Junta de Andalucía había generado incertidumbres legales y económicas sobre los bancos españoles, con posibles efectos negativos sobre la estabilidad del sistema financiero español en su conjunto, ya de forma directa (por las posibles sanciones a entidades de crédito y la medida de expropiación temporal del uso de las viviendas dadas en garantía), ya de forma indirecta (por la reducción del apetito inversor en el sector inmobiliario español y el deterioro del valor de las carteras de las entidades de crédito y de la capacidad de éstas de financiarse mediante cédulas hipotecarias). También destacó el potencial impacto negativo de iniciativas autonómicas de protección de los deudores hipotecarios para las actividades de la SAREB, tanto de forma directa (sanciones por inmuebles deshabitados) como indirecta (por el aumento de la incertidumbre que puede desincentivar las ofertas de potenciales compradores y deteriorar el valor de la cartera de activos de la SAREB).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inquietudes manifestadas por las autoridades internacionales sobre el impacto de la ley impugnada son compartidas por el Banco de España, en cuanto que la aplicación de los preceptos objeto de suspensión de la ley impugnada puede determinar un incremento de los costes de reestructuración asumidos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Nada se opone a que las normas autonómicas contemplen actuaciones complementarias, como, por ejemplo, la financiación con sus recursos económicos a las personas y familias en dificultades, pero lo que no pueden es establecer mecanismos que interfieran y perjudiquen las medidas adoptadas por el Estado. Este criterio ha sido acogido en la STC 93/2015, FJ 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algunas disposiciones de la ley impugnada, y en particular el deber de ceder el derecho de uso de determinadas viviendas titularidad de la SAREB, podría lastrar las iniciativas de venta de paquetes de activos, en detrimento del objetivo último de la SAREB, y generar mayor incertidumbre por deterioro del valor de las carteras de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introducidas por los preceptos impugnados suponen un deterioro de la posición financiera de las entidades de crédito, en tanto que suponen un coste directo para éstas o implican un deterioro del valor de determinadas partidas en sus balances. Debe tenerse en cuenta que la ley afecta particularmente a las entidades financieras y, por ello, este sector se verá especialmente afectado en la medida en que recibe, como consecuencia de ejecuciones hipotecarias o de convenios con los deudores hipotecarios, un porcentaje elevado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trata de una norma aislada, sino que se une a otras similares aprobadas en los últimos años a nivel autonómico que, de mantenerse en vigor, podrían agravar aún más, de forma combinada, los efectos negativos para el sector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 las entidades de crédito afectadas por la medida, cabe esperar que se genere una mayor incertidumbre por deterioro del valor de las carteras de activos. Además, comporta un aumento del riesgo asumido por las entidades en los créditos ya concedidos, que no pueden repercutir sobre su rentabilidad, inclinando la balanza hacia un mayor riesgo con el consiguiente efecto negativo sobre la estabilidad financiera. Las medidas podrían también tener un impacto sobre las emisiones de cédulas hipotecarias y otros valores garantizados por préstamos hipotecarios, debido al deterioro de la calidad de la garantía subyacente, que dificultará la capacidad de financiación de las entidades de crédito; en concreto, cabe esperar un descenso de la cotización de los títulos, un incremento de los costes de financiación de las entidades junto con un aumento de dificultades para refinanciar los títulos a medida que vayan venciendo.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Podría también generar mayores costes para las entidades, en caso de incumplimiento o demora de la obligación de poner a disposición de la administración las viviendas en los supuestos previstos en la norma, como consecuencia del régimen sancionador establecido, lo que, en su caso, afectaría a la evolución de los márgenes y los resultados de las entidades.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tiene indudablemente un efecto directo sobre la cartera actual de cédulas hipotecarias, que constituye una de las fuentes más importantes de financiación de préstamos hipotecarios de las entidades. Dado el menor valor de la garantía, los inversores exigirán un mayor volumen de préstamos que respalde las cédulas emitidas.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conjunto de los preceptos impugnados produce los perjuicios irreparables al interés general que han quedado descritos. Se sintetizan a continuación las razones que justifican la suspensión de cada uno de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 través de un primer bloque de disposiciones —artículo 1, apartados primero (en cuanto modifica el artículo 1.1 de la Ley 3/2001, de 26 de abril, de la calidad, promoción y acceso a la vivienda de Extremadura), tercero (en cuanto a la incorporación de los apartados decimotercero y decimoquinto al artículo 3 de la Ley 3/2001), duodécimo y decimocuarto [en cuanto a la introducción de los apartados l) y m) en el artículo 58 de la Ley 3/2001]—, la Ley extremeña perfila el concepto de vivienda deshabitada y lo configura como un supuesto de incumplimiento de la función social que el derecho de propiedad está llamado a atender. A partir de este supuesto se articula un conjunto de medidas de intervención orientadas a incentivar a los titulares de viviendas para destinarlas a un uso habitacional y, en última instancia, a dar cumplimiento al deber de ocupación de la vivienda que, de modo implícito pero inequívoco, establece la ley. Impone a los propietarios de viviendas un deber jurídico concreto, consistente en destinarlas a un uso habitacional efectivo, que queda vinculado al cumplimiento de la función social del derecho de propiedad, configurándose como incumplimiento de dicha función —y, por ende, como presupuesto para la aplicación de diversas medidas de intervención— la inobservancia del referido deber.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Solo sobre la base de la existencia de tal deber cobran sentido los instrumentos de intervención mencionados y la tipificación de las infracciones consistentes en su incumplimiento, y solo así puede ser operativo el régimen sancionador diseñado por la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Todos estos preceptos son impugnados en la medida en que guardan una evidente unidad de sentido, ya que se disciplina un mecanismo a través del cual, mediante la delimitación del concepto de vivienda deshabitada, se introducen elementos que condicionan y modulan el contenido del derecho de propiedad, en tanto que se impone al propietario una obligación de uso de las mismas. El uso y disfrute de la propiedad privada es uno de los elementos esenciales de su contenido, cuya fijación corresponde al Estado. Adicionalmente, la regulación así establecida afecta a las competencias en materia de ordenación del crédito y banca y a la planificación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impugnados, fundamentalmente las sanciones que se pueden imponer por el mero hecho de que una vivienda se encuentre deshabitada, son susceptibles de causar un perjuicio irreparable a sus destinatarios y, sobre todo y de acuerdo con lo que se ha argumentado, constituyen claramente un obstáculo a las medidas de reestructuración financiera adoptadas por el Gobierno, ya que los grandes inversores y los fondos inmobiliarios, ante el temor de ser sancionados, se replantearán sus inversiones en este ámbito con el consiguiente daño al sector. La propia SAREB y entidades similares que, como consecuencia de la crisis inmobiliaria, disponen de un gran número de viviendas deshabitadas que no pueden poner a disposición del mercado, se verán afectadas por este tipo de sanciones. La aplicación de la ley puede producir por ello efectos muy perjudiciales en el sistema y en las entidades mencionadas. Por ello, en los términos expuestos entran en contradicción con las medidas adoptadas por el Estado, pretendiendo desarrollar una política pública para la que el Estado ya ha adoptado medidas y con la que es incompatible. Resulta por ello de plena aplicación la doctrina de la STC 93/2015.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artículo 2 regula la expropiación forzosa del usufructo temporal de determinadas viviendas para la cobertura de la necesidad de vivienda de personas en especiales circunstancias de emergencia social, mediante un procedimiento de expropiación urgente del derecho de usufructo de la vivienda por un plazo máximo de tres años. Esta medida se aplica exclusivamente, apartado segundo, “a las viviendas incursas en procedimientos de desahucio instados por entidades financieras, o sus filiales inmobiliarias, o entidades de gestión de activos, en los cuales resulte adjudicatario del remate una entidad financiera, o sus filiales inmobiliarias o entidades de gestión de activos, todo ello sin perjuicio de lo dispuesto a estos efectos en la normativa básica estatal”. Del régimen transitorio de este precepto se ocupa la disposición transitoria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afirma en el informe del Banco de España: “[U]na cesión temporal forzosa del uso de las viviendas obtenidas en garantía de créditos hipotecarios reduce la eficacia de la garantía para enjugar las pérdidas derivadas del impago del prestatario, con el efecto inmediato de la reducción en el valor de la deuda que podría recuperarse (efecto que dependería del importe a recibir por el sujeto propietario, en su caso). En general, tales medidas comportan un aumento del riesgo asumido por las entidades en los créditos ya concedidos, que no pueden repercutir sobre su rentabilidad, inclinando la balanza hacia un mayor riesgo con el consiguiente efecto negativo sobre la estabilidad financiera. Ello podría conllevar que las entidades exigieran mayores primas de riesgo para la concesión de préstamos hipotecarios en el futuro para compensar pérdidas esperadas mayores (debido a mayores pérdidas en caso de impago), lo que afectaría con especial intensidad a los hogares en una situación económica más débil; es decir, a las familias que tuvieran un mayor riesgo de exclusión social. A lo anterior se añade que los criterios de valoración para la determinación del justiprecio podrían introducir incentivos inadecuados desde el punto de vista de la supervisión prudencial en el reconocimiento de pérdidas por adjudicados. Así, mientras que la norma contable dispone que las entidades incorporen criterios de prudencia en la estimación de los deterioros, la Ley 2/2017, al determinar el potencial justiprecio que una entidad de crédito podría recibir sobre la base del valor reconocido contablemente, podría introducir un incentivo en detrimento del reconocimiento prudente de las pérdidas en las carteras de adjudicados”.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precepto afecta a la garantía hipotecaria y, por tanto, a la ordenación del crédito, y se solapa con las medidas ya adoptadas por el Estado en esta materia (Real Decreto-ley 1/2015, y en la actualidad la Ley 25/2015, que ha ampliado el ámbito de protección de los deudores al incrementar el concepto de lo que se ha de entender por umbral de exclusión). Por consiguiente, cabe concluir que resulta trasladable a este caso la doctrina establecida en la STC 93/2015, FFJJ 17 y 18. La legislación estatal existe y la norma autonómica interfiere en su eficacia. Por el contrario, parece evidente que una única norma de carácter y ámbito estatal evitaría cualquier incertidumbre jurídica y garantizaría una aplicación coherente de las citadas medidas de protección en todo 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de este artículo se solicita en su conjunto en cuanto sus diversos apartados guardan una conexión interna y unidad de sentido y son necesarios para una única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Para concluir, se reitera que los perjuicios del levantamiento de la suspensión de la Ley impugnada se contemplan mejor haciendo el ejercicio de generalizar sus medidas a todo el territorio nacional. El Tribunal reiteradamente ha aceptado la legitimidad de este razonamiento en los incidentes de suspensión, entre otros, en el ATC 87/2012, de 10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Junta de Extremadura solicitó el levantamiento de la suspensión mediante escrito registrado el 30 de enero de 2018. En apoyo de su pretensión, y tras recoger la doctrina de este Tribunal acerca de esta clase de incidentes, y citar los AATC 69/2014, de 10 de marzo, 115/2014, de 8 de abril, 135/2015, de 21 de julio, 144/2016, de 19 de julio, 160/2016, de 20 de septiembre, 18/2017, de 31 de enero, y 118/2017, de 6 de septiembre, recaídos sobre otras normas autonómicas que regulan esta cuestión, alega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Ningún informe público o privado avala el riesgo que, según se afirma, existe sobre el mercado hipotecario español en caso de mantener las medidas de la ley impugnada. La situación económica ha cambiado. Los informes del Banco de España reflejan que la morosidad de los préstamos hipotecarios se ha reducido en términos absolutos de un modo más que notable. Según esos informes, a los que hay que añadir los de la asociación hipotecaria española (www.ahe.es/bocms/sites/ahenew/estadisticas/indicadores-dudosidad), los índices de créditos dudosos, que no morosos, han descendido desde 2014 hasta la fecha de un modo notable.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Ese descenso es compatible con un euribor negativo desde marzo de 2016, lo que contrasta con la idea de riesgo mantenida de contrario, pues difícilmente se acomoda a las reglas de mercado que el riesgo suba y el tipo de interés baje: lo normal suele ser a más riesgo, más interés.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llamado fondo social de viviendas es inexistente en Extremadura, como se puso de manifiesto en la contestación al recurso de inconstitucionalidad, y como se evidencia con la mera consulta a la página web institucional preparada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realidad, lo que se facilita con las medidas suspensivas es un proceso de acaparación y control del mercado inmobiliario al efecto de controlar los precios de venta y alquiler que según parece se están incrementando, esto es, medidas de especulación tanto del suelo como del suelo construido, lo que no está permitido por la propia Constitución ex artículo 47.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al ser esto así, las perjudicadas son las llamadas clases populares, cuyos ratios de insolvencia son muchos más modestos (un 4,7 por 100) que los de los promotores inmobiliarios (superiores al 27 por 100), cuando por otra parte los problemas financieros del sector bancario español por la llamada burbuja inmobiliaria no los crearon las viviendas construidas o en construcción, sino el proceso de adquirir con valor de suelo urbano el suelo urbanizable o incluso el rústico, por emplear expresiones no rigurosas en términos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perjudica claramente a los ciudadanos, a los que se les impide la adquisición de su vivienda, que queda postergada ante el derecho de los grandes acaparadores de suelo de mantenerlas vacías, se supone que esperando el reflotamiento del sector que todos los ciudadanos han contribuido a sufragar.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particular, mantener la suspensión del artículo1, apartados tercero y cuarto, que configuran las definiciones de vivienda habitual y vivienda deshabitada, imposibilita la exacción del canon sobre la vivienda deshabitada regulado en la disposición final tercera, que no ha sido impugnada, excediendo así del objeto del recurso. Invoca el ATC 163/2017, de 28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el artículo1, apartado decimocuarto, se establecen como infracciones dos conductas de los “grandes detentadores” de viviendas: no destinarlas de modo efectivo al uso residencial, o no mantenerlas en un estado de conservación adecuado. En realidad, tales obligaciones, que es lo que en realidad cuestiona el recurso, ya estaban establecidas en la regulación sobre suelo y viviendas de la época pre y postconstitucional (art. 15 del Real Decreto Legislativo 7/2015,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estos deberes de destino y conservación de terrenos y construcciones de todo tipo ya estaban previstos; no son, en puridad, elementos nuevos. Lo único que hace la ley extremeña es marcar las consecuencias jurídicas del incumplimiento de tales obligaciones impuestas por una norma estatal (que viene asumir la tradición normativa al respecto, al menos desde el texto refundido de 1992, artículo 21), y en la Ley 15/2001, de 14 de diciembre, de suelo y ordenación territorial de Extremadura (art. 163), que nunca fue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si esto es así, parece que sostener la suspensión supone extenderlo a preceptos de normas estatales —lo que es un verdadero contrasentido— o a normas autonómicas no impugnadas en su momento, sin que sea dable ahora abrir tal discusión en una especie de recurso de inconstitucionalidad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sea competencia estatal o autonómica, lo cierto es que asumir que la idea de la función social de la propiedad de las viviendas permite dejarlas vacías, o que se deterioren hasta el punto que haga inviable un posterior uso al fin para el que fueron erigidas, resulta inasumible y, desde luego, nada respetuoso con el mandato del artículo 128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 resolución tiene por objeto determinar si, de acuerdo con el artículo 161.2 CE, procede levantar o mantener la suspensión de la vigencia que afecta al artículo 1, apartados primero (en cuanto modifica el art. 1.1 de la Ley 3/2001, de 26 de abril, de la calidad, promoción y acceso a la vivienda de Extremadura), Tres (en cuanto a la incorporación de los apartados decimotercero y decimoquinto al artículo 3 de la Ley 3/2001), Cuatro (al añadir un nuevo art. 16 bis a la Ley 3/2001), duodécimo y decimocuarto [en cuanto a la introducción de los apartados l) y m) en el art. 58 de la Ley 3/2001]; el artículo 2; y la disposición transitoria primera de la Ley 2/2017, de 17 de febrero, de emergencia social de la vivienda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inconstitucionalidad plantea una controversia de índole competencial, en la que se aduce la vulneración de las competencias estatales en materia de régimen del derecho de propiedad (art. 149.1.1 CE en relación con el art. 33 CE), legislación procesal y civil (art. 149.1, 6 y 8 CE), bases de la ordenación de crédito, banca y seguros y bases y coordinación de la planificación general de la actividad económica (art. 149.1, 11 y 13 CE), y legislación sobre expropiación forzosa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consolidada doctrina constitucional, la procedencia de mantener o no la suspensión es una medida cautelar dirigida a prevenir las repercusiones perjudiciales que fueran consecuencia de la ejecución de aquellas decisiones durante la tramitación del proceso, por poderse generar situaciones de imposible o difícil reparación para los intereses comprometidos. Es preciso ponderar, de un lado, los intereses en presencia, tanto el general y público como el particular y privado de terceras personas afectadas, y, de otro, los perjuicios de imposible o difícil reparación que la medida, según su sentido, pudiera deparar.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de acuerdo con la doctrina constitucional, “la decisión sobre el mantenimiento o el levantamiento de la suspensión de la vigencia de las disposiciones impugnadas se debe desvincular plenamente de la decisión sobre la cuestión de fondo, que deberá ventilarse mediante sentencia” (ATC 163/2017, de 28 de noviembre, FJ 3, y los allí citados). La valoración propia de esta resolución debe efectuarse mediante el estricto examen de las situaciones de hecho creadas por los preceptos discutidos y al margen de la viabilidad de las pretensiones que en la demanda se formulan, pues la interpretación de las reglas de deslinde competencial que al caso hagan debe, obviamente, quedar diferida a la sentencia que resuelva la controversia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doctrina constitucional ha destacado que no basta para decidir la suspensión la mera invocación de aquellos perjuicios, sino que es preciso demostrar o, al menos, razonar consistentemente su procedencia y la imposible o difícil reparación de los mismos, ya que debe partirse, en principio, de la existencia de una presunción de constitucionalidad en favor de las normas o actos objeto del conflicto (por todos AATC 100/2002, de 5 de junio, FJ 2; 355/2007, de 24 de julio, FJ 2; 225/2009, de 10 de diciembre, FJ 2; 44/2011, de 12 de abril, FJ 2; 86/2012, de 8 de mayo, FJ 2; 122/2015, de 7 de julio, FJ 2, y 18/2017, de 31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daños y perjuicios de imposible o difícil reparación invocados en este caso por el Abogado del Estado son los mismos que se pusieron de manifiesto y se valoraron por este Tribunal en los AATC 69/2014, de 10 de marzo; 115/2014, de 8 de abril; 32/2015, de 17 de febrero; 135/2015, de 21 de julio; 144/2016, de 19 de julio; 160/2016, de 20 de septiembre; 18/2017, de 31 de enero, y 12/2018, de 7 de febrero. Las razones expuestas en los Autos citados para mantener la suspensión de preceptos de otras disposiciones autonómicas que han aprobado medidas en materia de vivienda, análogas a las impugnadas en este proceso constitucional, han quedado recientemente sintetizadas en el ATC 12/2018, FJ 3, al que procede remitirse: se refieren al perjuicio cierto para el interés general que subyace en el buen funcionamiento y estabilidad del sistema financiero en su conjunto; al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y a la circunstancia de que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dispuesto normas que atienden a estos mismos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las mismas razones que abonan el mantenimiento de la suspensión de los siguientes preceptos de la Ley 2/2017, de 17 de febrero, de emergencia social de la vivienda de Extremadura: artículo 1.12, en cuanto da nueva redacción al artículo 54.3 de la Ley 3/2001; artículo 1.14, en cuanto añade un nuevo apartado l) al artículo 58 de la Ley 3/2001; artículo 2, y disposición transitoria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se aprecia que concurran las razones expuestas para mantener la suspensión de los preceptos que seguidamente se indican, toda vez que su contenido no es susceptible de irrogar los daños y perjuicios de imposible o difícil reparación alegados por el Abogado del Estado, debiendo prevalecer el principio de presunción de constitucionalidad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artículo 1.1 de la Ley de Extremadura 2/2017 da nueva redacción al artículo 1.1 de la Ley 3/2001, de 26 de abril, de la calidad, promoción y acceso a la vivienda de Extremadura, que define el objeto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Sus párrafos 1 y 2 hacen referencia en términos genéricos a la ordenación de los procesos edificatorios, al marco normativo estable en la materia, a la garantía del derecho constitucional a disfrutar de una vivienda digna y adecuada, al conjunto de facultades que integran ese derecho, y a las actuaciones de administraciones públicas extremeñas y de entidades públicas y privadas que actúan en el ámbito sectorial de la vivienda para hacer efectivo el citado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regulan, ni tan siquiera mencionan, medidas o actuaciones concretas susceptibles de ser asociadas con los daños y perjuicios que se alegan por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párrafo 3, como parte del contenido del derecho de propiedad, enuncia el deber de destinar de forma efectiva el bien al uso habitacional previsto por el ordenamiento jurídico, y el deber de mantener, conservar y rehabilitar la vivienda con los límites y condiciones establecidos en el planeamiento y la legislación urbanística. Sin entrar en el debate de fondo que es ajeno a la decisión propia de este incidente cautelar, no cabe apreciar en este enunciado otra cosa que remisión a normas distintas, que precisarán el contenido de esos deberes y las consecuencias de su incumplimiento: serán pues esas otras normas las llamadas a concretar esos deberes genéricos, de forma tal que eventualmente cupiera entender que los daños y perjuicios alegados efectivamente concurren, pero este eventual efecto no puede predicarse del contenido de este párrafo.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artículo 3 de la Ley 3/2001, de 26 de abril, de la calidad, promoción y acceso a la vivienda de Extremadura, recoge las definiciones y conceptos utilizados en esta norma. De su modificación por el artículo 1.3 de la Ley 2/2017, se impugnan los apartados decimotercero y decimoquinto, que fijan a los efectos de la Ley los conceptos de vivienda habitual [a los efectos de los arts. 16 bis y 58.l)] y vivienda deshabitada.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artículo 1.4 de la Ley 2/2017 añade un nuevo artículo 16 bis a la Ley 3/2001, a fin de regular la declaración de vivienda desocupada (o deshabitada). Se fijan el período de desocupación, las causas justificadas de desocupación, los deberes de colaboración de empresas suministradoras de servicios, entidades locales, fedatarios públicos, intermediarios inmobiliarios y entidades financieras, y se remite a desarrollo reglamentario el procedimiento contradictorio de declaración.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regula en el artículo 3, apartados 13 y 15, el régimen jurídico asociado al concepto de vivienda habitual y al concepto reflejo de vivienda desocupada (o deshabitada); tampoco el artículo 16 bis dispone los efectos de la declaración de una vivienda como desocupada (o deshabitada), efectos que serían los potencialmente susceptibles de considerar como causantes de daños y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las medidas dispuestas por la Ley de Extremadura 2/2017 en relación con las viviendas desocupadas (o deshabitadas) no son únicamente las “medidas de intervención” de naturaleza sancionadora aludidas por el Abogado del Estado para acreditar la existencia de daños y perjuicios. No han sido objeto de impugnación las medidas de fomento reguladas en el artículo 38.1 de la Ley 3/2001, en la redacción dada por el artículo 1.9 de la Ley 2/2017, que entre otras contempla el establecimiento de convenios de colaboración con las entidades financieras y cualquier otra entidad con viviendas deshabitadas para ponerlas a disposición de determinados colectivos [apartado g)] y la supervisión de las condiciones técnicas y el estado arquitectónico de las viviendas desocupadas [apartado i)]. Tampoco se ha impugnado la disposición final tercera de la Ley 2/2017, que establece un canon sobre la vivienda deshabitada.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por tanto de un conjunto de preceptos cuya función instrumental excede de la regulación que, al permanecer suspendida, evita por sí misma los daños y perjuicios que han sido tomados en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artículo 1.14 de la Ley 2/2017 añade un nuevo apartado m) al artículo 58 de la Ley 3/2001, a fin de tipificar como infracción grave el incumplimiento de los deberes de mantenimiento del inmueble.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aprecia la conexión con los daños y perjuicios alegados por el Abogado del Estado en este incidente. Estén o no habitados, los deberes de mantenimiento de los inmuebles de uso residencial no responden a objetivos de política de vivienda, o a medidas de intervención sobre viviendas deshabitadas, ni son predicables específicamente de las entidades financieras titulares de viviendas. En realidad, el artículo 3.4 de la Ley de Extremadura 3/2001 se remite en este punto a las obligaciones y responsabilidades definidas en la propia legislación estatal, concretamente en la Ley 38/1999, de 5 de noviembre, de ordenación de la edificación. Esta última norma tiene la finalidad de garantizar la seguridad de las personas, el bienestar de la sociedad y la protección del medio ambiente (artículo 3.1), y en su artículo 16 regula las obligaciones de todos los propietarios (conservar en buen estado la edificación mediante un adecuado uso y mantenimiento) y de todos los usuarios, sean o no propietarios (la utilización adecuada de los edificios o de parte de los mismos de conformidad con las instrucciones de uso y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Difícilmente puede aceptarse que una regulación autonómica que explícitamente tiene como marco de referencia la legislación estatal en materia de edificación, dictada al amparo de las competencias estatales citadas en la disposición final primera de la Ley 38/1999, pueda generar los daños y perjuicios que han sido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Además de exponer los daños y perjuicios de imposible o difícil reparación que hasta aquí han quedado examinados, el Abogado del Estado reitera parte de los argumentos que proporcionan el soporte jurídico a sus pretensiones de fondo, y que no son de tener en cuenta en la adopción de medidas cautelares, e invoca en sus alegaciones el fumus boni iuris, por referencia a la STC 93/2015,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el Tribunal ha admitido excepcionalmente que pueda tenerse en consideración este criterio, como ocurre señaladamente cuando los preceptos impugnados contienen previsiones muy similares (una “similitud intensa o coincidencia literal”) con otras normas ya declaradas inconstitucionales y nulas por Sentencia de este Tribunal (entre otros, AATC 78/1987, de 22 de enero, FJ 2; 183/2011, de 14 de diciembre, FJ 4; 182/2015, de 3 de noviembre de 2015, FJ 6; 41/2016, de 16 de febrero, FFJJ 2 y 3; 105/2016, de 10 de mayo, FJ 4, y 11/2018, de 7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una vez valorados los perjuicios de imposible o difícil reparación alegados por el Abogado del Estado, el criterio excepcional del fumus boni iuris deviene innecesario para la resolución de este incidente cautelar, que aplica la consolidada doctrina general que ha quedado sintetizada en el fundamento jurídico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siguientes preceptos de la Ley 2/2017, de 17 de febrero, de emergencia social de la vivienda de Extremadura: artículo 1.12, que da nueva redacción al artículo 54.3 de la Ley 3/2001; artículo 1.14, que añade un nuevo apartado l) al artículo 58 de la Ley 3/2001; artículo 2, y disposición transitoria primera.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siguientes apartados del artículo 1 de la Ley 2/2017, de 17 de febrero, de emergencia social de la vivienda de Extremadura: primero, que da nueva redacción al artículo 1.1 de la Ley 3/2001; tercero, en cuanto añade los apartados 13 y 15 al artículo 3 de la Ley 3/2001; cuarto, que añade un nuevo artículo 16 bis a la Ley 3/2001 y decimocuarto, que añade un nuevo apartado m) al artículo 58 de la Ley 3/2001.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respecto del Auto dictado en el recurso de inconstitucional núm. 5659-2017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respeto a la opinión mayoritaria de mis compañeros en la que se sustenta el Auto, manifiesto mi discrepancia con la argumentación y decisión de mantener la suspensión de los siguientes preceptos de la Ley 2/2017, de 17 de 18 febrero, de emergencia social de la vivienda de Extremadura: artículo 1.12, que da nueva redacción al artículo 54.3 de la Ley 3/2001; artículo 1.14, que añade un nuevo apartado l) al artículo 58 de la Ley 3/2001; artículo 2 y disposición transitoria primera.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se reconoce expresamente en el fundamento jurídico 4 del Auto del que discrepo, el mantenimiento de la suspensión de estos preceptos se fundamenta en idéntico riesgo de interferencia de una medida adoptada por el Estado para proteger a los deudores hipotecarios que dio lugar a los AATC 69/2014, de 10 de marzo; 115/2014, de 8 de abril; 135/2015, de 8 de junio; 144/2016, de 19 de julio; 160/2016, de 20 de septiembre; 18/2017, de 31 de enero y 118/2017, de 6 de septiembre. Las razones de mi discrepancia con el mantenimiento de la suspensión de estas medidas son las mismas que quedaron detalladas en los Votos particulares formulados a las resoluciones citadas, a los que ahora me remito.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veinte de marzo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