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23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1889-2016, promovido por don Martín Francisco Barriuso Alonso, don Enrique Javier Barazón Amat, doña Maitane Arrate Sustatxa y doña Fernanda Pilar Badiola Mazariegos, representados por el Procurador de los Tribunales don Luis Fernando Pozas Osset y asistidos por el abogado don Héctor Brotons Albert, contra: (i) la Sentencia de la Sala Segunda del Tribunal Supremo, de 9 de diciembre de 2015, que estimó parcialmente el recurso de casación interpuesto por el Ministerio Fiscal contra la Sentencia dictada por la Sección Sexta de la Audiencia Provincial de Vizcaya el 27 de marzo de 2015; (ii) así como también contra el Auto de la Sala Segunda del Tribunal Supremo, de 15 de febrero de 2016, que desestimó el incidente de nulidad de actuaciones promovido contra la indicada Sentencia de 9 de diciembre de 2015.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7 de abril del 2016 en el registro general del Tribunal Constitucional, se interpuso por el Procurador de los Tribunales don Luis Fernando Pozas Osset, en nombre y representación de don Martín Francisco Barriuso Alonso, don Enrique Javier Barazón Amat, doña Maitane Arrate Sustatxa y doña Fernanda Pilar Badiola Mazariegos, asistidos por el Letrado don Héctor Brotons Albert, recurso de amparo contra la Sentencia de la Sala Segunda del Tribunal Supremo de 9 de diciembre de 2015 que estimó parcialmente el recurso de casación interpuesto por el Ministerio Fiscal contra la Sentencia de la Sección Sexta de la Audiencia Provincial de Vizcaya de 27 de marzo de 2015, y contra el Auto de la Sala Segunda del Tribunal Supremo de 15 de febrero de 2016 que desestimó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Juzgado de Instrucción núm. 6 de Bilbao se incoó el procedimiento abreviado núm. 2477-2012 contra los demandantes de amparo formulándose escrito de acusación por el Ministerio Fiscal contra don Martín Francisco Barriuso Alonso, don Igor Gaminde Garrido y doña Maitane Arrate Sustatxa como autores de un delito contra la salud pública en su modalidad de tráfico de sustancias estupefacientes que no causan grave daño a la salud en cantidad de notoria importancia, en concurso real con un delito de integración en grupo criminal o alternativamente de un delito de asociación ilícita, y contra don Enrique Javier Barazón Amat y doña Pilar Fernanda Badiola Mazariegos como autores de un delito contra la salud pública en su modalidad de tráfico de sustancias estupefacientes que no causan grave daño a la salud. Por su parte las defensas solicitaron su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fueron absueltos por la Sección Sexta de la Audiencia Provincial de Vizcaya de los delitos de los que habían sido acusados. La Sentencia declaró probado que el 22 de febrero de 2003 don Martín Francisco Barriuso Alonso, doña Maitane Arrate Sustatxa “y tres personas más” constituyeron la Asociación de Usuarios/as de Cannabis Pannagh, que fue inscrita en el registro general de asociaciones del País Vasco en virtud de resolución de 20 de junio de 2003 del director de estudios y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declaraba que los fines estatutarios de la asociación eran el estudio sobre el cáñamo y sus posibles aplicaciones culturales, científicas y terapéuticas, evitar el peligro para la salud de sus usuarios inherente al mercado ilegal de cannabis, promover el debate social sobre su situación legal y la de sus consumidores y hacer valer los derechos constitucionales de estos. Para ser socio era necesario solicitarlo por escrito, ser avalado por un miembro de la asociación, ser mayor de edad y gozar de plena capacidad de obrar, compartir los fines y objetivos de la asociación y ser consumidor de cannabis o haber sido diagnosticado de alguna enfermedad para la que el uso terapéutico o paliativo de los cannabinoides hubiera sido probada científicamente, correspondiendo a la junta directiva resolver sobre la admisión o inadmisión. Con la finalidad de evitar los riesgos del mercado ilegal se estableció y aceptó por los socios la actividad de cultivo en la que para participar era imprescindible haber adquirido la condición de socio, los gastos de la actividad se sostenían de forma proporcional a la participación en ella, cada socio participaba en función de la previsión de consumo que él mismo determinaba para cada período semestral de cultivo, el cultivo solo alcanzaba a cubrir el conjunto de las previsiones que los socios habían realizado para el período, el total de cada período de cultivo se dividía entre el total de socios participantes, el cuidado del cultivo se llevaba a cabo por socios colaboradores “y en orden a excluir cualquier posibilidad distinta del autoconsumo privado la participación de cada socio no podía exceder de la correspondiente a 2 gramos por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mes de noviembre de 2011 la policía municipal de Bilbao inició una investigación que, tras la práctica de vigilancias y seguimientos, llevó el día 14 de noviembre de 2011 a la práctica de una entrada y registro en la sede de la asociación sita en Bilbao, y el día 15 de noviembre de 2011 a la entrada y registro en un trastero sito en Galdakao y en una finca rústica sita en Zamudio que tenía alquilados la asociación. En estos registros se incautaron diversas cantidades de cannabis (marihuana) —entre ellas destacan cinco cajas con 10.035 gramos, diecisiete cajas con 22.253,60 gramos, dieciséis tabletas con 800 gramos, así como un saco de papel con 767,40 gramos hallados en la sede social, doce bolsas con 21.456,8 gramos y una bolsa con 156,60 gramos hallados en la finca rústica de Zamudio, y once cajas con múltiples bolsas con 23.724,10 gramos halladas en el trastero de Galdakao— así como dinero y documentación relacionada con la actividad asociativa.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también decía que “[l]os socios de la Asociación de Usuarios/as de Cannabis Pannagh eran consumidores de cannabis y, tras la constitución de la Asociación, para hacerse socios habían presentado una solicitud por escrito, fueron avalados por una persona ya socia de Pannagh y aceptaron cumplir los Estatutos de la Asociación y las normas de régimen interno, observar los fines sociales y respetar las decisiones de sus órganos y fueron admitidos cuando con el cultivo de la sustancia se podía atender sus previsiones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cantidad de sustancias estupefacientes intervenida procedía del cultivo compartido realizado conforme a las previsiones de consumo de los socios consumidores de marihuana participantes que estaban debidamente identificados y estaba destinada al consumo de dichos socios conforme a los fines y reglas de asociación y el acuerdo de los socios. En el momento de la intervención policial la asociación contaba con más de trescientos socios debidamente identificados que obtenían el cannabis que consumían en el modo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Terminaba con este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los acusados constituyeran una asociación con apariencia de legalidad para, bajo la cobertura formal de una asociación sin ánimo de lucro inscrita, cultivar cannabis, preparar y distribuir la sustancia estupefaciente obtenida a terceras personas a cambio de dinero, ni que para encubrir la entrega de la sustancia a estas personas se les realizara un carné de socio en el momento de la entrega de la sustancia. No ha quedado acreditado que los acusados hubieran entregado marihuana o hachís a personas que previamente no hubieran sido socios de la Asociación de Usuarios/as de Cannabis Pannagh. No ha quedado acreditado que las cantidades obtenidas con el pago por los socios de las cuotas anuales y al retirar la sustancia estupefaciente tuvieran otro destino que el de sufragar los gastos propios de la asociación y los relativos al cultivo, recolección y conservación de la sustancia estupefaciente para entregarla a los socios para su autoconsumo según lo acordado. No consta que los acusados tuvieran la intención de que la sustancia estupefaciente fuera difundida entre quienes no fueran socios ni que consintieran o aceptaran que los socios destinaran la sustancia estupefaciente a destino distinto de su propio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Vizcaya entendió que los asociados —unos 320 en el momento de la intervención policial— eran consumidores habituales de cannabis, identificados y determinados, que, ajustándose a las reglas estatutarias que regían el funcionamiento de la asociación, realizaban actos de cultivo compartido con el único propósito de asegurarse el suministro de marihuana necesario para su autoconsumo, sin ninguna finalidad de tráfico, estableciendo controles y medidas de seguridad para evitar la difusión de la sustancia a terceros, por lo que consideró que los hechos no eran susceptibles de ser calificados como delito contra la salud pública en los términos esgrimidos por la acusación, dado que esta actividad de autocultivo, que vendría a ser una forma de autoconsumo, no promovía, favorecía o facilitaba el consumo de la marihuana más allá del círculo de los asociados.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desenvolvimiento de este argumento la Sala remitía a los criterios que había seguido en su Sentencia de 16 de junio de 2014, de sentido igualmente absolutorio en la que se dirimía la acusación contra varios miembros de otra asociación cannábica.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previa preparación, interpuso el 28 de abril de 2015 recurso de casación en el que alegó como único motivo, al amparo del artículo 849.1 de la Ley de enjuiciamiento criminal (LECrim), el de infracción de ley por indebida inaplicación de los artículos 368 y 369.1.5 del Código penal: CP (delito contra la salud pública), y por indebida inaplicación de los artículos 515.1 y 517.1 y 2 CP (delito de asociación ilícita) o, alternativamente, del artículo 570 ter 1 CP en relación con el artículo 570 quater 1 CP (delito de integración en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5 de mayo de 2015 se tuvo por formalizado el recurso y de dio traslado del mismo a la representación procesal de los ahora demandantes de amparo, quienes en sendos escritos registrados el 19 y 20 de mayo de 2015 se instruyeron del recurso y lo impugnaron, manifestando al amparo del artículo 893 bis a) LECrim que no conceptuaban necesaria la celebración de vista. Alegaron que el Ministerio Fiscal no respetaba en su recurso el relato de hechos probados de la Sentencia de instancia, que era intangible, y en el que se descartaba que en los demandantes existiera el ánimo tendencial dirigido al tráfico de sustancias estupefacientes exigido por el tipo penal, ni un riesgo de difusión a terceros ajenos a la asociación, pues el cultivo se organizaba en función de las previsiones de consumo de los socios en periodos semestrales, siendo todos los socios consumidores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10 de septiembre de 2015 se admitió el recurso de casación señalando fecha para su deliberación y decisión. Por providencia de 23 de septiembre de 2015 se suspendió el señalamiento para deliberación y se otorgó, al amparo del artículo 897.2 de la Ley de enjuiciamiento criminal, un plazo de ocho días al Ministerio Fiscal y a las partes para que informasen sobre la posibilidad de aplicación del artículo 14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emitió informe en fecha 29 de septiembre de 2015 en el que, tras distinguir las características del error de tipo y del error de prohibición en su modalidad directa e indirecta, aduce que en el plano procesal el error debe ser probado por la parte que lo alega y que no puede ser invocado en aquellas infracciones que sean de ilicitud notoriamente evidente. El error no aparece reflejado en el relato de hechos probados, en los que no se describe ninguna situación de desconocimiento o conocimiento equivocado de la realidad, ni resulta admisible por ser doctrina consolidada del Tribunal Supremo que en los delitos de tráfico de drogas no cabe el error de prohibición por ser hecho notorio para cualquier persona de cultura y conocimientos normales que se trata de una conducta punible. Añade que un error sobre el posible encuadramiento de los hechos en el ámbito del consumo compartido definido en la jurisprudencia del Tribunal Supremo constituiría un error de tipo, excluyente del carácter “ilegal” del consumo, pero que este error no ha sido ni alegado ni probado. Afirma que dicho error no concurre en quienes han constituido una asociación ilícita y han realizado labores de gestión y administración, además del cultivo, preparación y envasado de la sustancia estupefaciente. Cita y se atiene al criterio sentado en la instrucción de la Fiscalía General del Estado núm. 2-2013, sobre “algunas cuestiones relativas a las asociaciones promotoras del consumo de cannabis”. En el presente caso se han entregado cantidades de cannabis de hasta 360 gramos semestrales sin un verdadero control de que los socios receptores fueran realmente adictos o consumidores habituales, o enfermos con autorización sanitaria para su tratamiento, por lo que existió un riesgo claro para el bien jurídico protegido, la salud pública colectiva. El consumo no se desarrolló en lugar cerrado, porque los socios podían llevarse la sustancia para consumirla en cualquier lugar distinto del local de la asociación, tampoco el consumo era inmediato a su recepción por el socio, quien podía entregarla a quien quisiera, y tampoco nos encontrábamos ante un pequeño núcleo de drogodependientes sino ante un elevado número de socios, integrado por más de 320 personas, con unos estatutos asociativos que no establecían límite alguno de admisión de socios; tampoco estamos ante una cantidad de droga mínima o insignificante, pues la asociación precisaba de 115.200 gramos al semestre para atender a la demanda potencial de sus 320 socios, lo cual significa unos acopios semestrales de hasta diez veces la cantidad fijada por el Tribunal Supremo para aplicar la figura agravada de la notoria importancia para el caso de la marihuana. Recuerda que la Ley 17/1967, de 18 de abril, impide el cultivo de cannabis sin autorización administrativa aunque sea para consumo privado y que el uso de estupefacientes está sujeto a un régimen de control oficial que actualmente corresponde a la Agencia española de medicamentos. Concluye de lo anterior que no es admisible la tesis del error de tipo y que si bien existen algunos pronunciamientos absolutorios de Audiencias Provinciales, encontramos otros de signo condenatorio por lo que no se puede hablar de un contexto cultural de admisión de este tipo de comportamientos. Termina señalando que el error de tipo tampoco afectaría al delito de asociación ilícita o de integración en grupo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Letrada de doña Pilar Fernanda Badiola Mazariegos presentó escrito el día 1 de octubre de 2015 en el que postuló la aplicación de un error invencible de prohibición porque actuó convencida de que su conducta era lícita y estaba amparada en la Ley al incorporarse a una asociación, Pannagh, que ya llevaba inscrita en el registro de asociaciones del Gobierno Vasco desde siete años antes de su incorporación personal, y que pasó a prestar servicios a la misma en virtud de un contrato de trabajo reglado, con alta y cotización a la Seguridad Social, y todas las garantías y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los restantes demandantes de amparo presentó escrito el día 5 de octubre de 2015 en el que alegó en primer lugar que no sería posible revisar la Sentencia absolutoria dictada en instancia, modificando su relato de hechos probados, sin dar previa audiencia a los acusados, de acuerdo con la doctrina del Tribunal Europeo de Derechos Humanos, del Tribunal Constitucional y del propio Tribunal Supremo. Sobre la cuestión de fondo alegó que en todo momento obraron con la conciencia de que formaban parte de una asociación legal y por lo tanto de que su actividad era igualmente legal, lo cual se deduce del propio relato de hechos probados de la Sentencia de instancia, por lo que les sería aplicable, en su caso, el error invencible de prohibición. Adujo que este error aflora de las pruebas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de casación fue estimado parcialmente en la Sentencia del Tribunal Supremo núm. 788/2015, de 9 de diciembre. En lo que interesa al presente recurso de amparo, importa destacar que en su primer fundamento de Derecho, aplicando al caso los criterios decisorios sentados en anterior Sentencia del Pleno de la Sala Penal del Tribunal Supremo núm. 484/2015, de 7 de septiembre, afirma que la ausencia de lucro no excluye el carácter punible de la conducta cuando se pone en riesgo el bien jurídico protegido al facilitar el consumo de la sustancia estupefaciente por terceros, que el debate social y político sobre el grado de prohibición o tolerancia de las sustancias estupefacientes corresponde a otros poderes del Estado, no a los tribunales, sin perder de vista la política criminal supranacional, y que el marco aplicable al presente caso es el interno constituido por el artículo 368 CP y la regulación administrativa nacional sobre control de sustancias estupefacientes, así como la normativa internacional de la que hace expresa cita (Convención de Naciones Unidas de 1961, Convención de Viena de 1988) que obligan a los Estados parte a perseguir como delitos las conductas de cultivo, producción, venta y difusión de sustancias estupefacientes, entre las que se incluye el cannabis como sustancia a combatir, citando seguidamente la normativa de la Unión Europea que establece las disposiciones mínimas de los elementos constitutivos de los delitos y penas aplicables en el ámbito del tráfico ilícito de drogas (Decisión Marco 2004/757/JAI del Consejo de 25 de octubre de 2004) en la que igualmente se incluye como objeto de persecución penal las conductas atinentes a la planta del cannabis, con la sola exclusión del consumo personal. En relación con el artículo 368 del Código penal el Tribunal Supremo afirma que el consumo ilegal es su concepto de referencia, que aunque no está incluido en la conducta punible, es lo que se pretende evitar castigando toda acción encaminada a promoverlo, favorecerlo o facilitarlo, actos entre los que se incluyen el cultivo, la elaboración o el tráfico, y que consumo ilegal es toda utilización o ingesta de la droga por cualquier vía orgánica que no sea aquella que esté expresamente autorizada por tener finalidad terapéutica o positiva para la salud. Afirma que la asociación presenta una estructura que la hace incapaz de controlar el riesgo de difusión de la droga a terceros y que por ello sus creadores y organizadores son responsables de crear una fuente de riesgos para el bien jurídico protegido, añadiendo que la doctrina jurisprudencial que admite la ausencia de tipicidad del consumo compartido no es aplicable a este tipo de asociaciones por no cumplir sus requisitos, particularmente los que exigen que el consumo se produzca en lugar cerrado, entre un grupo reducido de adictos y en cantidades pequeñas de droga que sean adecuadas para su consumo en una sola sesión o encuentro. Considera, en consecuencia, que procede estimar el motivo único del recurso de casación del Fiscal, estimando que los hechos son subsumibles en el tipo penal del artículo 368 CP y aplicando en segunda Sentencia las penas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de los demandantes de amparo de que no podría revisarse la Sentencia absolutoria sin darles previa audiencia, el Tribunal Supremo responde en el fundamento de Derecho tercero que la misma no era precisa en este caso por ser objeto del recurso de casación una cuestión de estricta subsunción jurídica de los hechos probados en el delito del artículo 368 CP, supuesto en el que la doctrina del Tribunal Constitucional no exige la celebración de vista oral ni la práctica de prueba en segunda instancia con cumplimiento de los principios de publicidad, inmediación y contradicción para que se entienda respetado el derecho a un proceso con todas las garantías del artículo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continuación se dicta segunda Sentencia de casación en la que se declara que los hechos probados son constitutivos de un delito contra la salud pública de los artículos 368 y 369.5 del Código penal, en la modalidad de tráfico de sustancias que no causan grave daño a la salud, en cantidad de notoria importancia, respecto de los acusados don Francisco Barriuso Alonso y doña Maitane Arrate Sustatxa, aplicando a los acusados doña Pilar Fernanda Badiola Mazariegos y don Enrique Javier Barazón Amat el tipo especial atenuado por la escasa entidad del hecho del artículo 368.2 del Código penal y absolviendo al otro acusado, don Igor Gaminde Rodrigo, por falta de concreción en los hechos probados de su intervención en los mismos. La Sala considera que el error de los demandantes sobre el ámbito y alcance de la prohibición contenida en el artículo 368 CP constituye una inferencia de la Sentencia de instancia, que sin afirmarla expresamente, “transita por la narración fáctica y la fundamentación jurídica de manera implícita”, inferencia admisible por ser beneficiosa para los acusados y que pese a no haber sido alegada por las defensas, no puede ser obviada por representar una minoración de la responsabilidad penal. La Sala entiende que el error sería de prohibición, no de tipo, y que resultaría vencible, pues a los acusados les era exigible una mayor cautela y un esfuerzo más sincero de indagación de la legalidad de su conducta, entendiendo que sopesaron y se representaron su posible antijuricidad por las citas de resoluciones judiciales que efectuaron y por la falta de transparencia en la redacción de los estatutos de la asociación, en los que ocultaron que su objeto era la producción y distribución de cannabis entre sus asociados. Considera la Sala que los hechos probados y la fundamentación jurídica de la Sentencia de instancia “proporcionan base suficiente para considerar probable una creencia equivocada; pero ninguna para tildarla de inevitable”. El error de prohibición evitable comporta una culpabilidad disminuida que se traduce en una atenuación penológica, en este caso mediante la rebaja en un grado de la pena prevista para el delito, conforme a lo establecido en el artículo 14.3 del Código penal, de lo que se sigue la imposición a los acusados don Martín Francisco Barriuso Alonso, y doña Maitane Arrate Sustatxa la pena de un año y ocho meses de prisión y multa de 250.000 euros con responsabilidad personal subsidiaria de 20 días en caso de impago, y a los acusados doña Pilar Fernanda Badiola Mazariegos y don Enrique Javier Barazón Amat, a los que aplica la figura atenuada del artículo 368.2 del Código penal, la pena de seis meses menos un día de prisión sin imposición de pena de multa por no existir constancia de la cantidad de droga que habían llegado a manipular, manteniendo la absolución del acusado don Igor Gaminde Rodrigo porque en el relato de hechos probados de la Sentencia de la Audiencia Provincial ni siquiera se le nombraba, no siendo posible alterar dicho relato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15 de febrero de 2016 la Sala Penal del Tribunal Supremo desestimó el incidente de nulidad de actuaciones promovido al amparo del artículo 241.1 de la Ley Orgánica del Poder Judicial por la representación procesal de los demandantes, en el que invocaron la vulneración de los derechos fundamentales a la libertad personal (art. 17.1 CE), a la tutela judicial efectiva (art. 24.1 CE), a un proceso con todas las garantías y al juez ordinario predeterminado por la Ley (art. 24.2 CE), a un proceso justo (art. 6.1 del Convenio europeo de derechos humanos: CEDH), a la doble instancia (art. 14.5 del Pacto internacional de derechos civiles y políticos), a la presunción de inocencia (art. 24.2 CE), a la legalidad penal (art. 25.1 CE), violación del principio de igualdad ante la ley (art. 14 CE) y por no garantizar la interdicción de la arbitrariedad (art. 9.3 CE) y violación del derecho a la autonomía y dignidad personales y al desarrollo de la personalidad (art. 10 CE en relación con los arts. 18 CE y 8 CEDH). La Sala afirma que la parte promotora del incidente no está denunciando propiamente vicios de nulidad, sino reiterando alguno de los motivos en los que ya fundó su recurso de casación y que la Sentencia cuya nulidad se pretende ya trató todas las cuestiones afectantes a la legalidad penal, a la tipicidad de la conducta, y a la aplicación del error de prohibición o de tipo, vencible o invencible, así como las razones por las que se aplicó el párrafo segundo del artículo 368 del Código penal a unos acusados y no a otros. En relación con la inmediación y el derecho de defensa, también se consideró en la Sentencia la posibilidad de modificar en casación un pronunciamiento absolutorio de la instancia sin necesidad de audiencia de los afectados cuando la pretensión de revisión se ciñe estrictamente a cuestiones jurídicas. Y en relación con el proceso justo, no se ha alterado el hecho probado porque el último apartado del relato fáctico era prescindible al recoger hechos no probados y no hechos acreditados. El derecho de defensa quedó garantizado cuando se les concedió audiencia conforme al artículo 897.2 de la Ley de enjuiciamiento criminal para que manifestaran lo que estimaran conveniente sobre la eventual aplicación del artículo 14 del Código penal. Rechaza asimismo que se haya producido vulneración del derecho a la presunción de inocencia porque no existió inversión de la carga de la prueba, teniendo que probar los acusados que no controlaban el destino del cannabis, sino afirmación de que el supuesto reflejado en los hechos probados no entra en el supuesto atípico excepcional, según los parámetros jurisprudenciales, del “consumo compartido”, sino del “cultivo colectivo” con el resultado constatado en relación con los 320 socios de la asociación Pannagh.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afirman en su demanda de amparo que las resoluciones del Tribunal Supremo han vulnerado su derecho a un proceso con todas las garantías (art. 24.2 CE) por valorarse en casación pruebas personales sin garantía de inmediación al no haberse celebrado vista oral, en conexión con vulneración del derecho a la presunción de inocencia (art. 24.2 CE) al declararse probados hechos de cuya existencia hay dudas razonables. El Tribunal Supremo modificó el relato de hechos probados sin oír a ninguno de los condenados ni a los testigos que depusieron en el acto de juicio oral, alcanzando conclusiones fácticas de índole incriminatoria que un tribunal no debe formular sin establecer una previa interacción con las fuentes de la prueba. Consideran que tal proceder va en contra de la doctrina constitucional y del Tribunal Europeo de Derechos Humanos y citan varios precedentes. Manifiestan que la Sentencia condenatoria modificó los siguientes hechos base fijados en la Sentencia de instancia: (i) que todos los socios eran consumidores de cannabis; (ii) que no existió peligro de difusión a terceros; (iii) que una parte relevante de los socios eran consumidores terapéuticos de cannabis; (iv) que la cantidad de cannabis que recibía cada socio no excedía el marco del autoconsumo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sustentar el Tribunal Supremo la condena sobre una revisión de tales conclusiones sin previa celebración de vista oral, ha vulnerado la garantía de la inmediación judicial. Afirman que se vulnera, igualmente, el derecho a la presunción de inocencia (art. 24.2 CE) porque los datos incorporados no son concluyentes.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demandantes denuncian la vulneración de su derecho de defensa (art. 24.2 CE) porque no fueron oídos por el Tribunal que les condenó. Citan las SSTC 184/2009 y 157/2013, de las que infiere la doctrina de que nadie puede ser condenado en segunda instancia sin haber sido oído, pues el distinto enjuiciamiento sobre hechos subjetivos sin haber dado audiencia al acusado conlleva la vulneración del derecho de defensa y del derecho a un proceso con todas las garantías. Citan asimismo las SSTC 142/2011, 201/2012 y 88/2013, en relación con la constatación en segunda instancia de los elementos subjetivos del delito y la necesidad de audiencia del acusado antes de pronunciarse sobre los mismos. Recuerdan que el juicio sobre la concurrencia de los elementos subjetivos del delito forma parte, a estos efectos, de la vertiente fáctica del juicio. Afirman que la condena impugnada se sustenta en nuevos hechos subjetivos —si el error era de tipo o de prohibición vencible— de los que los acusados discrepan. También dicen que se han valorado pruebas personales —interrogatorios de los acusados, testificales— sin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denuncian la vulneración del derecho a la tutela judicial efectiva y a un proceso con todas las garantías (art. 24.1 y 2 CE, en relación con el derecho a un proceso justo del art. 6.1 CEDH) y a la igualdad ante la ley (art. 14 CE). Consideran que en relación con don Enrique Javier Barazón Amat se dan las mismas circunstancias de indeterminación de su participación en los hechos que concurrían en don Igor Gaminde Garrido, que resultó absuelto, por lo que aquél debió haber sido igualmente absuelto, tal y como se solicitó en el incidente de nulidad de actuaciones, sin que se haya obtenido respuesta del Tribunal Supremo sobre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luego la vulneración del derecho a la tutela judicial efectiva sin sufrir indefensión (art. 24.1 CE en relación con el art. 120 CE) por falta de motivación del Auto de 15 de febrero de 2016 que resolvió el incidente de nulidad de actuaciones, que ha incurrido en incongruencia omisiva al no resolver la totalidad de las cuestiones planteadas. Afirman que no se ha dado respuesta argumentada a ninguno de los cinco motivos de lesión del derecho a la legalidad penal planteados en el incidente, ni a los de lesión del derecho a un proceso con todas las garantías. Tampoco se dio respuesta a las peticiones de los otrosíes.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Reprochan seguidamente la vulneración del derecho a la legalidad penal (art. 25.1 CE) por aplicación de un precepto penal indeterminado, como es el artículo 368 CP. Se afirma que el juez debe restringir la aplicación del precepto indeterminado a supuestos ciertos y seguros, pues de lo contrario la aplicación deviene imprevisible para el ciudadano. No está claro que el legislador hubiera querido castigar la conducta realizada por los demandantes de amparo, la condena no se deduce del tenor del precepto sino que es fruto de una interpretación extensiva del mismo derivada de la imprecisión de los términos empleados, promover, favorecer o facilitar el consumo ilegal de drogas. Se han producido fallos opuestos en supuestos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seguidamente la vulneración del derecho a la presunción de inocencia (art. 24.2 CE) en relación con el derecho a la legalidad penal (art. 25.1 CE), en relación con el elemento objetivo del tipo del artículo 368 CP, al considerar la Sentencia condenatoria, mediante una subsunción irrazonable, que nos encontramos ante la cantidad de 78.570 gramos de marihuana y 800 gramos de hachís, y consecuentemente con un valor económico determinado. Consideran que no se puede determinar con precisión con qué cantidad de sustancia nos encontramos, por lo que no se podría aplicar el subtipo agravado de notoria importancia del artículo 369.5 CP. También la multa impuesta se basa en una determinación irracional del valor de la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afirman que se ha producido la vulneración del derecho a la legalidad penal (art. 25.1 CE) por subsunción irrazonable de los hechos probados por no contener la sentencia el objeto material del delito, en cuanto al concepto de droga tóxica, sustancia psicotrópica o estupefaciente dentro del artículo 368 CP. En las resoluciones impugnadas no se ha señalado ni la existencia de Tetrahidrocannabinol ni su porcentaje, siendo dichos datos fundamentales para determinar si nos encontramos ante una sustancia estupefaciente, ni su efecto psicotrópico.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denuncian la vulneración del derecho a la legalidad penal (art. 25.1 CE) por entender que se ha verificado una aplicación retroactiva de una nueva interpretación del artículo 368 CP. Aducen que el Tribunal Europeo de Derechos Humanos —citan en concreto el asunto Inés del Río Prada, STEDH de 21 de octubre de 2013— integra en el principio de legalidad penal la interpretación jurisprudencial de las normas. La Sentencia del Tribunal Supremo impugnada fija una doctrina penal nueva que no debería ser aplicada a hechos ocurridos con anterioridad a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denuncian la vulneración del derecho a la legalidad penal (art. 25.1 CE) por subsunción irrazonable de los hechos probados con infracción del principio de proporcionalidad, al interpretar el artículo 368 CP de forma no acorde con la Constitución, con la Declaración universal de derechos humanos y los tratados y acuerdos internacionales que se relacionan con los derechos fundamentales y libertades públicas reconocidas en la Constitución (art. 10.2 CE). Consideran que hay que analizar el supuesto concreto desde un juicio de proporcionalidad, analizando la realidad social del momento y los datos sociológicos y científicos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asimismo que se ha vulnerado el principio de proporcionalidad en el tratamiento de la libertad (art. 17.1 CE) y el derecho a la legalidad penal (art. 25.1 CE) por subsunción irrazonable, por desproporción de los hechos probados en el artículo 368 CP. Consideran que la sanción penal aplicada, de prisión y multa,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nuevamente la vulneración del derecho a la legalidad penal (art. 25.1 CE) en relación con el subtipo atenuado del artículo 368.2 CP por no haber sido aplicado a dos de los condenados, así como por aplicación injustificada del error vencible de prohibición, en vez del error invencible o el error de tipo, en relación con el derecho a la tutela judicial efectiva y a no sufrir indefensión (art. 24.1 CE) por falta de motivación de la resolución judicial (art. 120 CE). El error de prohibición no fue planteado por el Tribunal a quo, ni tampoco por la defensa o el Fiscal, lo suscitó el Tribunal Supremo al dar traslado a las partes para que se pronunciaran sobre la aplicabilidad del artículo 14 CP mediante providencia de 23 de septiembre de 2015. La defensa argumentó a favor del error de prohibición invencible, el TS en respuesta a este planteamiento se limitó a reproducir los razonamientos jurídicos de la Sentencia del Pleno núm. 484/2015 sin hacer ninguna mención a los expuestos en el escrito de alegaciones de la parte. El presente caso presenta particularidades diferentes respecto del resuelto en la Sentencia del Pleno, pues en aquél no existían informes de autoridades públicas, como el Ararteko, que avalaban la trayectoria pública de los acusados en el desarrollo de actividades y participación en la puesta en marcha de iniciativas legislativas, ni tampoco existían resoluciones judiciales que decretaban el sobreseimiento libre de actuaciones penales, incluso con devolución del cannabis incautado. Este aval jurisdiccional constituye en elemento de obligado pronunciamiento cuando se trata de determinar la conciencia sobre la licitud de la actuación de los acusados y demandaba un pronunciamiento expreso e individualizado que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Reprochan la vulneración del derecho a la legalidad penal (art. 25.1 CE), del principio de culpabilidad y del principio de seguridad jurídica (art. 9.3 CE) por subsunción irrazonable de los hechos probados calificados como error de prohibición y no de tipo (art. 14 CP) o subsidiariamente como error de prohibición invencible en lugar de error vencible (art. 14 CP). Aducen que es preciso valorar si el juicio de inferencia realizado por el Tribunal ad quem en esta materia se corresponde con estándares aceptables constitucionalmente. La demanda defiende que la calificación jurídica correcta era la de error de tipo, no de prohibición; subsidiariamente invoca el carácter invencible, y no vencible, que habría tenido en su caso el error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afirman que se ha vulnerado su derecho a la presunción de inocencia y a un proceso con todas las garantías (art. 24.2 CE) por no existir prueba suficiente sobre el elemento subjetivo del injusto en relación con el principio de culpabilidad y el derecho a la legalidad penal (art. 25.1 CE) sobre la vencibilidad del error (art. 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denuncian la vulneración del derecho de defensa y a un proceso con todas las garantías (art. 24.2 CE) por falta de una instancia penal posterior a la condena. Afirman que al no acordarse por el Tribunal Supremo el reenvío de la causa al Tribunal a quo no se ha podido debatir sobre la prueba de los datos subjetivos que sustentan la vencibilidad del error, ni sobre la ausencia de dolo, la aplicación del subtipo atenuado del artículo 368.2 CP, y otras cuestiones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otrosí primero de la demanda solicitan la suspensión de la ejecución de la Sentencia al amparo del artículo 56 de la Ley Orgánica del Tribunal Constitucional (LOTC) y en el otrosí segundo solicitan el planteamiento de una cuestión prejudicial ante el Tribunal de Justicia de la Unión Europea en relación con la interpretación que se ha de dar al artículo 2 de la Decisión Marco 2004/757/JAI del Consejo de 25 de octubre de 2004, y el posible encuadramiento de los hechos probados en la cláusula de exclusión prevista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2016 la Sala Segunda de este Tribunal acordó la admisión a trámite del recurso de amparo, apreciando que concurre en el mismo una especial trascendencia constitucional “porque el recurso puede dar ocasión al Tribunal para aclarar o cambiar su doctrina, como consecuencia de un proceso de reflexión interna” y porque asimismo “el asunto suscitado trasciende del caso concreto porque plantea una cuestión jurídica de relevante y general repercusión social o económica”, y en aplicación de lo previsto en el artículo 51 de la Ley Orgánica del Tribunal Constitucional, dirigir atenta comunicación a la Sala Penal del Tribunal Supremo y a la Sección Sexta de la Audiencia Provincial de Vizcaya, a fin de que en el plazo de diez días remitieran certificación o fotocopia adverada de las actuaciones correspondientes a la ejecutoria núm. 2-2016, así como el rollo penal abreviado núm. 41-2014, dimanante de las diligencias previas núm. 2477-2016 del Juzgado de Instrucción núm. 6 de Bilbao, interesándose al mismo tiempo que se emplazase a quienes hubieran sido parte en el procedimiento, exceptuando la parte recurrente en amparo, para que pudieran comparecer en este proceso constitucional, si lo estimaran pertinente, en el plazo de diez días. Al mismo tiempo se acordó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diciembre de 2016 se concedió un plazo común de tres días a la parte recurrente y al Ministerio Fiscal para que formularan alegaciones sobre la suspensión. Evacuado dicho trámite, la Sala Segunda acordó por Auto de 27 de febrero de 2017 la suspensión única y exclusivamente de las penas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requeridos, la Sala Segunda, mediante diligencia de ordenación de su Secretaria de Justicia de 14 de febrero de 2017, acordó dar vista de las actuaciones a la parte recurrente y al Ministerio Fiscal por un plazo común de veinte días para que formularan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evacuó el trámite de alegaciones mediante escrito registrado en este Tribunal el día 16 de marzo de 2017 que abunda en las lesiones denunciadas en el escrito de interposición de la demanda de amparo, complementando su argumentación con la cita de nuevos pronunciamientos jurisdiccionales entre los que destacan la STEDH de 29 de marzo de 2016, asunto Gómez Olmeda contra España, que enfatiza a necesidad de la audiencia personal del acusado desde la perspectiva de su derecho de defensa cuando es el Tribunal de segunda instancia el primero que va a dictar condena, así como las Sentencias de la Sala Penal del Tribunal Supremo núm. 563/2016, de 27 de junio, en relación con la asociación “Maria Gracia” de Barcelona, 698/2016, de 7 de septiembre, relativa a la asociación cultural “Línea Verde BCN” y 571/2016, de 29 de junio, en el caso de la asociación “Datura”, que tratan del error de prohibición en el ámbito de las asociaciones cannábicas.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día 25 de abril de 2017, interesando el otorgamiento parcial del amparo impetrado mediante la declaración de vulneración del derecho fundamental de los demandantes a la defensa (art. 24.2 CE) por infracción de la garantía de audiencia personal en segunda instancia, entendiendo que procedía restablecerles en su derecho mediante la declaración de nulidad de la segunda Sentencia casacional y del Auto posterior, con retroacción de actuaciones para ofrecer a los recurrentes la oportunidad de ser oídos.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tras sintetizar el desarrollo argumental de los quince motivos de amparo planteados en el recurso, los agrupa sistemáticamente distinguiendo los de índole procesal, que trata en primer lugar, de los de índole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plano procesal comienza analizando las diversas cuestiones que aparecen imbricadas en los dos primeros motivos del recurso de amparo, suscitadas a raíz de la condena en casación de los recurrentes, en los que se denuncia la vulneración de su derecho a un proceso con todas las garantías, y en su seno, de la específica garantía de la inmediación probatoria por nueva valoración de pruebas de naturaleza personal, en conexión con la denuncia de vulneración del derecho a la presunción de inocencia por ausencia de prueba de la culpabilidad, y de vulneración del derecho de defensa por dictarse condena sin haber oído personalmente a los acusados, terminando con la invocación de la vulneración de su derecho a la doble instancia penal por ausencia de recurso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secunda el orden metodológico observado en el recurso de amparo de tratar por separado la garantía procesal de inmediación probatoria (motivo primero) y el derecho de defensa de los acusados, en su vertiente de oportunidad de ser oídos antes de ser condenados (motivo segundo), por tratarse de cuestiones que aunque están estrechamente emparentadas, aparecen conceptualmente diferenciadas en los casos de condena en segunda instancia tratados en la doctrina del Tribunal Europeo de Derechos Humanos y en algunos pronunciamientos de este Tribunal, de los que hace expresa cita (singularmente, STC 205/2013,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el presente caso no se puede afirmar que se haya producido vulneración efectiva de la garantía de inmediación, pues el derecho fundamental a un proceso con todas las garantías presenta un carácter eminentemente circunstancial en esta vertiente, y no cabe efectuar reproche constitucional alguno cuando la condena pronunciada en apelación —tanto si el apelado hubiera sido absuelto en la instancia como si la Sentencia de apelación empeora su situación— no altera el sustrato fáctico sobre el que se asienta la Sentencia del órgano a quo, o cuando, a pesar de darse tal alteración, esta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(STC 272/2005, de 24 de octubre, FJ 2). En el presente caso las Sentencias casacionales no modificaron el relato de hechos probados desarrollado en los antecedentes de la Sentencia de la Audiencia Provincial de Vizcaya (no considera genuina alteración del factum la supresión del último párrafo del relato que solo contenía hechos negativos sin significación penal) limitándose a efectuar una operación de subsunción jurídica de dichos hechos en el tipo penal del artículo 368 CP, como tampoco se vulneró el derecho a la presunción de inocencia, pues fue un juicio de inferencia divergente del efectuado en la instancia, pero de irreprochable consistencia lógica, el que condujo a la Sala Penal del Tribunal Supremo a extraer de unos mismos indicios o “hechos base” la existencia de un riesgo de difusión a terceros y de fomento del consumo ilícito de la sustancia estupefaciente intervenida, incompatible con la aplicación del supuesto excepcional de atipicidad del “autoconsumo compartido”, tal y como ha sido perfilado por la propia jurisprudencia del Tribunal Supremo, así como la concurrencia en los acusados de un error de prohibición que hubieran podido superar de haber sido más diligentes en la comprobación de la legalidad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no obstante, sí hubiera sido preciso respetar la garantía procesal de inmediación de los acusados cuando, una vez casada la Sentencia absolutoria de instancia, se pasó al enjuiciamiento de la concurrencia del error de prohibición en la segunda Sentencia del Tribunal Supremo, pues al otorgarle un efecto meramente atenuatorio, y no eximente, constituyó “una aportación también decisiva al resultado final de condena e imposición de pena” que hacía exigible un “complemento garantista”: según doctrina constitucional de la que hace cita, la conciencia de la antijuridicidad constituye un hecho subjetivo integrado en la vertiente fáctica del enjuiciamiento que exige la celebración de vista pública con audiencia personal del acusado para que pueda exponer ante el Tribunal su versión de los hechos como garantía específica vinculada a su derecho de defensa. Advierte por ello que se vulneró el derecho de defensa de los recurrentes al ser condenados en la segunda Sentencia del Tribunal Supremo sin haber sido oídos previamente por el Tribunal, pues la vista que convocó de oficio en virtud del artículo 897.2 LECrim para debatir la concurrencia del error, no contó con su presencia. Afirma que el alcance del amparo a conceder por este motivo se limitaría a una mera retroacción procedimental para la reparación del derecho fundamental reseñado, ofreciendo a los recurrentes la posibilidad de ser oídos en los términos procedentes, ciñendo la posible nulidad a la segunda Sentencia del Tribunal Supremo 788/2015, de 9 de diciembre en virtud del principio de conservación de los actos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sin embargo, la vulneración alegada en el motivo decimoquinto del recurso de amparo del derecho a la doble instancia penal previsto en el artículo 14.5 del Pacto internacional de derechos civiles y políticos toda vez que nos encontramos ante una condena emanada del órgano que ocupa la cúspide de la jurisdicción penal, y que la doctrina constitucional no objeta la condena recaída en segunda instancia por entender que no hay indefensión cuando las pretensiones del actor han sido examinadas por dos órganos judiciales distintos, contando además con el apartado segundo del artículo 2 del Protocolo núm. 7 al Convenio europeo para la protección de los derechos humanos y de las libertades fundamentales que excepciona expresamente la condena resultante de un recurso interpuesto contra su previa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seguidamente los motivos tercero y cuarto relativos a la vulneración del derecho a la tutela judicial efectiva y la denuncia de incongruencia omisiva. El motivo tercero impugnaba la condena de don Enrique Javier Barazón Amat por falta de determinación de su participación en los hechos, motivo que desecha el Fiscal porque en ambas Sentencias casacionales hay una determinación fáctica suficiente de su vinculación con la asociación Pannagh, y de las labores de limpieza, selección, pesaje y empaquetado al vacío de la sustancia estupefaciente que desarrollaba a su servicio, lo que sirvió de soporte de su condena por el subtipo atenuado del artículo 369.2 CP en atención a su carácter secundario o accesorio. En cuanto a la incongruencia omisiva reprochada en el recurso de amparo al Auto del Tribunal Supremo de 15 de febrero de 2016 resolutorio del incidente de nulidad de actuaciones, el Fiscal rechaza su concurrencia por entender que la desestimación de todas las alegaciones vertidas en el escrito de promoción del incidente se infería con claridad del conjunto de los razonamientos contenidos en la resolución, por lo que estaríamos ante un caso de desestimación tácita constitucionalmente legítima, no de una incongruencia omisiva o ex silentio lesiva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seguidamente los motivos de amparo de orden sustantivo construidos en torno a la vulneración del principio de legalidad penal desde la doble perspectiva de la taxatividad de la configuración legal del artículo 368 CP, y de la razonabilidad de la subsunción judicial de los hechos, dando respuesta a las vulneraciones denunciadas en los motivos quinto a decimocuarto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analiza en primer lugar la configuración normativa del artículo 368 CP y rechaza que el mismo contenga un tipo delictivo descrito en forma tan abierta que propicie o facilite un arbitrio judicial absoluto o descontrolado, pues su núcleo central se compone de factores suficientemente definidos para facilitar su concreción: la realización de actos de cultivo, elaboración o tráfico, o de comportamientos que de otro modo promuevan, favorezcan o faciliten el consumo ilegal de drogas tóxicas, sustancias estupefacientes o psicotrópicas, o su posesión con tales fines. Considera que el hecho de que los jueces y tribunales dispongan de un margen de apreciación de los términos utilizados en el precepto no es contrario, sino compatible, con el principio de legalidad penal según doctrina constitucional y del Tribunal Europeo de Derechos Humanos, que admiten la legitimidad del uso de categorías generales o de cláusulas más o menos precisas, susceptibles de interpretación judicial, en virtud de la abstracción de las normas jurídicas y la inevitable generalidad del lenguaje. Añade que para enjuiciar la suficiencia o insuficiencia, a la luz del principio de tipicidad, de la labor de predeterminación normativa de las conductas sancionadas debe tenerse en cuenta también el contexto legal y jurisprudencial en el que el precepto se inscribe, pues el ordenamiento jurídico es una realidad compleja e integrada, dentro de la cual adquieren sentido y significación propia —también en el ámbito penal— cada uno de los preceptos singulares, y que existe una normativa internacional, supranacional y nacional relacionada con el artículo 368 CP en cuyo contexto los términos del mismo adquieren sentido y significación. Cita, al efecto, los tres principales tratados de Naciones Unidas que conforman el marco legal internacional del régimen de control mundial de las drogas: la Convención única sobre estupefacientes de 1961, enmendada por el Protocolo de 1972, el Convenio sobre sustancias psicotrópicas de 1971 y la Convención sobre el tráfico ilícito de estupefacientes y sustancias psicotrópicas de 1988, cuyo artículo 3 contiene la relación de las conductas a definir como delitos en las legislaciones internas. Cita igualmente la Decisión Marco 2004/757/JAI del Consejo de 25 de octubre de 2004, relativa al establecimiento de disposiciones mínimas de los elementos constitutivos de delitos y las penas aplicables en el ámbito del tráfico ilícito de drogas, cuyo artículo 2 contiene igualmente una relación de conductas cuya punibilidad debe ser garantizada en cada uno de los Estados miembros de la Unión Europea. En el ámbito nacional cita como principales referentes la Ley 17/1967, de 8 de abril, de estupefacientes, y la normativa en materia de seguridad ciudadana. Concluye de lo anteriormente dicho que la concreción incluso de los elementos abiertos del artículo 368 CP es razonablemente factible en virtud de criterios lógicos, técnicos o de experiencia, de tal forma que puede asegurarse que cabe prever son suficiente seguridad la naturaleza y características esenciales de las conductas constitutivas de la infracción tipificada.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seguidamente la razonabilidad de la subsunción judicial de los hechos en el artículo 368 CP aplicando los cánones definidos por la doctrina constitucional de respeto a los términos empleados en la norma, a las reglas de interpretación aceptadas en la comunidad jurídica y a los valores y principios constitucionales, y concluye que la Sentencia del Tribunal Supremo núm. 788/2015 (primera Sentencia casacional), al aplicar los criterios establecidos en la anterior Sentencia del Pleno del Tribunal Supremo núm. 484/2015, que cita a su vez un precedente anterior constituido por la Sentencia del Tribunal Supremo 670/1994, de 17 de marzo, efectuó un uso adecuado de las herramientas interpretativas que proporcionaba la normativa nacional, internacional y supranacional anteriormente citada, al concluir que la conducta enjuiciada constituía un supuesto de favorecimiento del consumo ilícito de sustancias estupefacientes merecedor de reproche penal y no susceptible de ser encuadrado en la excepción típica del consumo compartido creada por la jurisprudencia para ser aplicada en supuestos diferentes. Considera, en suma, que la subsunción verificada por el Tribunal Supremo cumple los parámetros constitucionales derivados del principio de legalidad penal del artículo 25.1 CE porque tiene fundamento razonable, y no es imprevisible ni contraria a la orientación material de la norma, utilizando como elemento de restricción interpretativa de los elementos del tipo el concepto de alteridad, entendido como riesgo de difusión del consumo de la sustancia estupefaciente entre terceros, en los que incluye a los socios consumidores, así como la interpretación del concepto de consumo ilegal conforme al entendimiento del mismo en el contexto legal nacional, internacional y supranacional.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el fundamento de la queja de vulneración del principio de proporcionalidad por ausencia de lesividad, o escasa lesividad del bien de la salud pública, de la conducta enjuiciada, que se formula como motivo décimo, por considerar que se trata de una queja dirigida más bien a la norma jurídica y al marco penal establecido por el legislador, lo que la sitúa en el ámbito de la política criminal y del debate sociológico relativo a la búsqueda de alternativas a la reacción penal, más que en el de los valores y principios constitucionales, concluyendo que la queja carece de consistencia en el marco de una práctica universal y prácticamente unánime favorable a utilizar la vía penal para impedir el consumo ilegal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queja de que se ha aplicado retroactiva y sorpresivamente una interpretación jurisprudencial nueva del contenido del artículo 368 CP, deducida en el motivo octavo, argumentando que no ha existido un cambio jurisprudencial que pudiera parangonarse en lo más mínimo con el que motivó la condena a España en la Sentencia del Tribunal Europeo de Derechos Humanos de 21 de octubre de 2013, asunto del Río Prada contra España, pues en este caso el criterio decisorio ya había sido definido por el Tribunal Supremo mucho antes de la comisión de los hechos enjuiciados, en el precedente constituido por la Sentencia del Tribunal Supremo 1377/1997, de 17 de noviembre, que se pronunció en relación con una asociación de naturaleza similar que había arrendado una finca para el cultivo de cannabis destinada al consumo de sus socios, precedente que hacía previsible el carácter punible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la queja derivada de la no aplicación del subtipo atenuado del artículo 368.2 CP, incluida en el motivo decimoprimero, cuyo fundamento igualmente desestima por entender que se trata de una cuestión de mera subsunción jurídica de los hechos inherente al ejercicio de la potestad jurisdiccional que en este caso no llega a producir afectación alguna al derecho fundamental a la legalidad penal al tratarse de un subtipo atenuado de aplicación judicial facultativa en base a la apreciación de dos conceptos jurídicos indeterminados —la escasa entidad del hecho y las circunstancias personales del culpable— que el Tribunal consideró concurrentes solo en dos de los acusados en virtud de la menor importancia de su contribución al hecho, razonándolo adecuadamente en la segunda Sentencia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cuando a la queja relativa a la no apreciación del error de tipo, y a la no apreciación del carácter invencible del error de prohibición, recogida en los motivos decimosegundo y decimotercero, el Fiscal rechaza igualmente su procedencia y fundamento por tratarse de la expresión de una mera discrepancia de parte con el criterio judicial seguido al aplicar al caso las reglas del artículo 14 CP que regulan el error, que el Fiscal considera debidamente razonado en la segunda Sentencia de casación, en la que se valora que el error de los recurrentes no recayó en la ilicitud de la conducta —error de tipo— sino en el alcance de la prohibición, y que dicho error podría haber sido despejado de haber realizado los recurrentes en su momento un mínimo esfuerzo sincero de indagación de la licitud de la actuación que se proponían realizar. Rechaza asimismo que sea apreciable incongruencia omisiva por el hecho de no pronunciarse sobre las Sentencias absolutorias y Autos de sobreseimiento invocados por la parte como justificativos del error, pues el rechazo de su relevancia a efectos de apreciar la concurrencia de error aparece suficientemente justificado en la motivación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el fundamento de la queja relativa a la falta de acreditación de la cantidad de sustancia intervenida, de su naturaleza estupefaciente y de su valor económico, que se articula en los motivos sexto y séptimo, recordando al efecto que el Tribunal Constitucional carece de potestad para entrar a valorar los hechos probados en sí mismos considerados, tratándose además de aspectos que no fueron cuestionados en el proceso ni por el Fiscal ni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2018,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Segunda del Tribunal Supremo de 9 de diciembre de 2015 que condena a los demandantes, inicialmente absueltos, como autores de un delito contra la salud pública con la concurrencia de un error vencible de prohibición y contra el Auto de la misma Sala de 15 de febrero de 2016 que desestima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de una parte, que las resoluciones judiciales han lesionado su derecho a la legalidad penal (art. 25.1 CE) en su vertiente material, tanto por las deficiencias inherentes al tipo penal sobre el que se asienta su condena, descrito en el artículo 368 del Código penal (CP), que consideran excesivamente indeterminado y abierto, como por haberse efectuado una irracional aplicación de dicho precepto, así como de las normas que regulan en nuestro ordenamiento penal las modalidades del error y sus efectos en la condena; de otra parte afirman que se les han rehusado garantías esenciales del procedimiento pacíficamente reconocidas tanto en la doctrina constitucional como en la del Tribunal Europeo de Derechos Humanos, singularmente la garantía de la inmediación en la valoración de las pruebas, el derecho de defensa en su modalidad de derecho a ser oído por el tribunal que dicta condena, el derecho a la doble instancia penal, el derecho a la tutela judicial efectiva en su vertiente de derecho a obtener una resolución motivada y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otorgue parcialmente el amparo y que se anule la segunda Sentencia casacional y el posterior Auto, por el único y exclusivo motivo de haberse visto vulnerado el derecho de defensa de los demandantes al haber sido condenados por un Tribunal que no les había oído (art. 24.1 CE), rechazando el fundamento de las restantes lesiones sustantivas y procesales invocadas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115/2002, de 20 de mayo, FJ 3; 65/2003, de 7 de abril, FJ 2; 198/2003, de 10 de noviembre, FJ 3, o 126/2010, de 29 de noviembre, FJ 2, y en la más reciente STC 105/2013, de 6 de mayo, hemos declarado que corresponde a este Tribunal, en función de las circunstancias concurrentes en cada supuesto concreto determinar no solo el orden del examen de las quejas,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Acogiéndonos a dicha doctrina vamos a analizar los quince motivos de amparo deducidos en el presente recurso —algunos de los cuales abundan en las mismas infracciones— disponiéndolos en el orden que mejor contribuya a la claridad de su análisis, que en este caso entendemos exigiría dar preferencia a los que aparecen relacionados con la infracción del principio de legalidad penal reconocido en el artículo 25.1 CE desde las tres perspectivas aducidas, que son: i) la defectuosa conformación normativa de la conducta típica descrita en el artículo 368 CP, que a juicio de los demandantes carece de la necesaria precisión para constituir una norma previsible (motivo quinto), ii) el irrazonable juicio de tipicidad verificado por el Tribunal Supremo al subsumir los hechos probados en dicho precepto, lo que se enlaza además con la posible infracción del principio de proporcionalidad y del derecho a la libertad personal (motivos séptimo, y noveno a decimoprimero), así como la irrazonable aplicación del error de prohibición, en su modalidad vencible, que conecta con el derecho a la tutela judicial efectiva en su vertiente de derecho a obtener una resolución judicial motivada (motivos decimosegundo y decimotercero), y iii) la supuesta aplicación retroactiva de una jurisprudencia desfavorable a los acusados (motivo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Procedería, a continuación, el análisis de las vulneraciones relacionadas con diversas garantías procesales, que la demanda sustenta en los siguientes motivos: i) por haberse efectuado en las resoluciones impugnadas una valoración de las pruebas personales sin inmediación, en relación con la consideración de la conducta como típica y al conocimiento que los acusados tenían o debían tener sobre el carácter prohibido de su conducta (motivo primero), ii) haber sido condenados sin dar a los acusados la posibilidad de ser oídos privándoles de su derecho de defensa (motivo segundo), iii) vulneración del derecho a la tutela judicial efectiva y a un proceso con todas las garantías sufrido por el demandante don Enrique Javier Barazón Amat al no haber recibido el mismo tratamiento que le fue dispensado a don Igor Gaminde Garrido, que resultó absuelto por indeterminación de su participación en los hechos (motivo tercero), iv) vulneración del derecho a la tutela judicial efectiva por la incongruencia omisiva en la que incurrió el Auto resolutorio del incidente de nulidad, al dejar sin resolver varias cuestiones planteadas en el incidente (motivo cuarto), v) vulneración del derecho a la presunción de inocencia por falta de prueba de los elementos objetivos del tipo, relativos a la naturaleza y peso de la sustancia —cuestiones, por cierto, que no fueron discutidas en la instancia ni por el Fiscal ni por las defensas— (motivo sexto) y del elemento subjetivo del tipo relativo al error y su invencibilidad (motivo decimocuarto), y vi) vulneración del derecho de defensa y a un proceso con todas las garantías por falta de una instancia penal posterior a la condena (motivo decimoquinto).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dar preferencia a la denuncia que desarrolla el motivo quinto del recurso de amparo y que se basa en la inconcreción de las proposiciones utilizadas en el artículo 368.1 CP para describir la conducta sancionada como delito contra la salud pública, que a juicio de los recurrentes incumpliría la garantía material de determinación de la ley inherente al principio de legalidad penal reconocido en el artículo 25.1 CE, poniendo a los ciudadanos en la tesitura o riesgo de sufrir condenas imprevisibles. La preferencia otorgada a este particular motivo derivaría de que, en el caso de apreciarse fundamento suficiente para su estimación, el Tribunal se vería precisado a plantear una cuestión interna de inconstitucionalidad en los términos del artículo 55.2 de la Ley Orgánica del Tribunal Constitucional (LOTC) antes de resolver sobre la procedencia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reprochan al enunciado del artículo 368 del Código penal la indeterminación “de todos sus elementos”, “la insoportable acumulación de elementos vagos e indefinidos” que ha propiciado el dictado de fallos opuestos en casos semejantes, que no está claro ni se puede determinar por medio de criterios fiables qué es “promover, favorecer o facilitar” ni “consumo ilegal”, concepto cuya concreción, dice el recurso, impone al ciudadano de a pie un arduo escrutinio de leyes extrapenales, afirman igualmente que no es previsible que pueda ser considerada delito una conducta que tratan de regular las administraciones públicas y que realizan decenas de miles de ciudadanos de forma no clandestina. Concluyen que se trata de un tipo formulado de forma tan abierta que su aplicación o inaplicación depende de una decisión prácticamente libre y arbitraria de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calidad normativa del artículo 368 CP, desde la perspectiva de la garantía material de determinación de los preceptos penales, ha sido respaldada en la reciente STC 146/2017, de 14 de diciembre, FJ 3, en un caso de condena en segunda instancia de miembros de una asociación cannábica que presentaba acusadas similitudes con el presente. Los razonamientos de dicha sentencia, estructurados en dos apartados, establecían la siguiente doctrina, íntegramente aplicable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recordar que el derecho a la legalidad penal (art. 25.1 CE), se articula a través de una doble garantía: material y formal. La primera —que es la que eventualmente se vulnera a juicio de los demandantes—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Como señala la STC 145/2013, de 11 de julio, FJ 4, con cita de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artículo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redacción del artículo 368 CP (‘Los que ejecuten actos de cultivo, elaboración o tráfico, o de otro modo promuevan, favorezcan o faciliten el consumo ilegal de drogas tóxicas, estupefacientes o sustancias psicotrópicas, o las posean con aquellos fines’), no contempla un tipo delictivo de formulación tan abierta que respalde el ejercicio de una decisión prácticamente libre y arbitraria. La utilización de verbos de uso habitual en el lenguaje y de conocimiento accesible como cultivar, elaborar, traficar, promover, favorecer o facilitar el consumo ilegal de drogas tóxicas, estupefacientes o sustancias psicotrópicas, no dejan en la indefinición la conducta típica. Al contrario, la esfera del comportamiento ilícito es perfectamente inteligible, conforme a valores socialmente arraigados, siendo razonablemente factible y previsible su concreción mediante criterios comunes a la experiencia humana. Conviene en este punto recordar que, ‘dado el carácter general de las leyes, el texto de las mismas no puede presentar una precisión absoluta. Una de las técnicas tipo de regulación consiste en recurrir a categorías generales en vez de listas exhaustivas. Por lo tanto, numerosas leyes utilizan, necesariamente, fórmulas más o menos imprecisas cuya interpretación y aplicación dependen de la práctica (asuntos Kokkinakis, antes citado, § 40, y Cantoni, antes citado, § 31). Por tanto, en cualquier sistema jurídico, por muy clara que sea la redacción de una disposición legal, incluso en materia penal, existe inevitablemente un elemento de interpretación judicial. Siempre será necesario dilucidar las cuestiones dudosas y adaptarse a los cambios de situación. Por otra parte, la certeza, aunque muy deseable, se acompaña a veces de una rigidez excesiva; ahora bien el derecho debe saber adaptarse a los cambios de situación (asunto Kafkaris, antes citado, § 141).’ (STEDH, de 21 de octubre de 2013, asunto Del Río Prada contra España,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conducen a desechar la vulneración del principio de legalidad en su vertiente de exigencia de taxatividad de las normas penales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vulneración del principio de legalidad por defectos inmanentes al precepto penal aplicado, procede entrar al análisis de los motivos de amparo que denuncian la infracción del principio de legalidad penal en virtud de una errónea interpretación y aplicación judicial del mismo, y que el presente recurso centra en primer lugar en la irracional subsunción jurídica de los hechos probados en el tipo penal del artículo 368.1 CP (garantía de tipicidad), para seguidamente impugnar la negativa a aplicar el subtipo atenuado del artículo 368.2 CP, la opción por el error de prohibición, en lugar del error de tipo, y, subsidiariamente, la opción por el error de prohibición en su modalidad vencible, en lugar de la invencible.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consolidada en relación con el control constitucional de las decisiones judiciales desde las exigencias que impone el artículo 25.1 CE que la interpretación del contenido de los tipos sancionadores y el control del proceso de subsunción de los hechos probados en los preceptos aplicados es una cuestión ajena al contenido propio de la jurisdicción de este Tribunal al ser ésta una función que, de acuerdo con lo establecido en el artículo 117.3 CE, corresponde en exclusiva a los jueces y tribunales ordinarios (por todas, STC 199/2013, de 5 de diciembre, FJ 13). Ahora bien, a este Tribunal le compete la labor de verificar que la subsunción de los hechos en el correspondiente tipo, administrativo y penal, o lo que es lo mismo, que la concreta aplicación de la norma sancionadora, respeta las exigencias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razonabilidad de la subsunción de los hechos probados en la norma penal o sancionadora, el primero de los criterios a utilizar es la compatibilidad de dicha subsunción con el tenor literal de la norma, con la consiguiente prohibición de la analogía in malam partem. A dicho criterio inicial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2/2015, de 19 de enero, FJ 8, y STC 146/2015,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los antecedentes, la STS 788/2015, de 9 de diciembre, examina el sentido y alcance del artículo 368 CP, siguiendo en este punto los criterios expresados en la STS (Pleno) 484/2015, de 7 de septiembre, singularmente en la interpretación del contenido del elemento normativo del tipo “consumo ilegal”, bajo el prisma de la normativa extrapenal y de la jurisprudencia precedente, y lo define como “toda utilización o ingesta de la droga por diversas vías orgánicas que no sea aquella que esté expresamente autorizada por tener finalidad terapéutica o positiva para la salud”. Afirma que la ausencia de lucro no excluye el carácter punible de la conducta cuando se pone en riesgo el bien jurídico protegido al facilitar el consumo de la sustancia estupefaciente por terceros, que el debate social y político sobre el grado de prohibición o tolerancia de las sustancias estupefacientes corresponde a otros poderes del Estado, no a los tribunales, que no se debe perder de vista la política criminal supranacional, y que el marco aplicable al presente caso es el interno constituido por el artículo 368 CP, la regulación administrativa nacional sobre control de sustancias estupefacientes, así como la normativa internacional a la que considera un referente insoslayable y de la que hace expresa cita (en concreto, la Convención única de las Naciones Unidas de 1961 sobre estupefacientes, enmendada por el Protocolo de 1972, y la Convención de Viena de 1988) que obligan a los Estados parte a perseguir como delitos las conductas intencionadas de cultivo, producción, fabricación, extracción, preparación, posesión, oferta, venta, distribución, despacho por cualquier concepto, corretaje, expedición, transporte, importación y exportación de sustancias estupefacientes, entre las que se incluye el cannabis como sustancia a combatir, apelando igualmente a la normativa de la Unión Europea que establece las disposiciones mínimas de los elementos constitutivos de los delitos y penas aplicables en el ámbito del tráfico ilícito de drogas, la Decisión Marco 2004/757/JAI del Consejo de 25 de octubre de 2004, que constituye a su vez el instrumento básico en la materia, y en la que se incluye expresamente como objeto de persecución penal las conductas relacionadas con el cultivo de la planta de cannabis [art. 2 b)], excluyendo únicamente el caso de que los autores hayan actuado exclusivamente con fines de consumo personal tal y como lo define la legislación nacional (art. 2.2). Afirma el Tribunal Supremo que el consumo ilegal es un concepto de referencia que aunque no está incluido en la conducta punible del artículo 368 CP, es lo que se pretende evitar castigando toda acción encaminada a promoverlo, favorecerlo o facilitarlo, actos entre los que se incluyen el cultivo, la elaboración o el tráfico; considera por ello que el punto de partida para una correcta intelección del tipo penal es el concepto indeterminado de consumo ilegal, cuyo contenido lo proporciona la legislación extrapenal, concluyendo que se trata de toda utilización o ingesta de la droga por cualquier vía orgánica que no sea aquella que esté expresamente autorizada por tener finalidad terapéutica o positiva para la salud. Afirma que la asociación Pannagh presenta una estructura que la hace incapaz de controlar el riesgo de difusión de la droga a terceros y que sus creadores y organizadores son por tal razón responsables de crear una fuente de riesgos para el bien jurídico protegido, añadiendo que la doctrina jurisprudencial que ha admitido la ausencia de tipicidad del consumo compartido no es aplicable a este tipo de asociaciones por no cumplir sus requisitos, particularmente los relativos a que el consumo se produzca en lugar cerrado —la asociación proporcionaba el cannabis para ser consumido en cualquier lugar—, en un grupo reducido de adictos —la asociación tiene más de trescientos miembros— y en cantidades pequeñas de droga susceptibles de ser consumidas en una sola sesión o encuentro —incompatible con la magnitud de la sustancia incautada en este caso—. Considera, en consecuencia, que procede estimar el motivo único del recurso de casación del Fiscal, estimando que los hechos son subsumibles en el tipo penal del artículo 368 CP, aplicando en segunda Sentencia las penas correspondientes con la rebaja de grado que reporta la apreciación del error vencible de prohibición. En su posterior Auto de 15 de febrero de 2016 denegó la nulidad de actuaciones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problemática constitucional, debemos anticipar, compartiendo la argumentación del Ministerio Fiscal, que las resoluciones del Tribunal Supremo verifican una operación jurídica de subsunción penal respetuosa de la norma sancionadora desde la triple perspectiva anteriormente expuesta: sometimiento al tenor literal de la norma, que no se ve desbordado en ninguno de sus aspectos, ausencia en el plano metodológico de quiebras lógicas en su exégesis o de un apartamiento de los modelos de argumentación aceptados por la comunidad jurídica, y adecuación en el plano axiológico a las pautas valorativas que informan el ordenamiento constitucional interpretado a la luz de los convenios internacionales suscritos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contraviene el tenor literal del precepto considerar subsumibles en el tipo penal aplicado las actividades consistentes en cultivar, producir, preparar, envasar y entregar la sustancia estupefaciente a los socios para su consumo ulterior, conductas todas ellas que se declaran probadas en el relato de hechos de la Sentencia de instancia y realizan los verbos nucleares fijados en la descripción típica del artículo 368 CP en correspondencia con la normativa internacional y supranacional que establece las bases comunes de la represión del tráfico ilícito de drogas. No resulta metodológicamente extravagante, ni desborda los contornos del artículo 368 CP, entender que una asociación dedicada a cultivar y facilitar cannabis a sus miembros está promoviendo un consumo no autorizado por los convenios internacionales y las normas administrativas vigentes en nuestro país, tratándose por lo tanto del consumo ilegal que la norma penal trata de evitar, y que realizadas estas conductas en el seno de una estructura metódica, institucionalizada, con vocación de permanencia y abierta a la integración sucesiva y escalonada de un número elevado e indeterminado de personas, no les cuadra la exoneración del “consumo compartido” auspiciada jurisprudencialmente para contener la reacción penal en supuestos fácticos bien diferentes, caracterizados por el consumo inmediato de cantidades mínimas en un grupo cerrado y no muy numeroso de personas adictas y 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la subsunción penal puede considerarse intolerable desde los fundamentos teleológicos de la norma, en conexión con el bien jurídico protegido, ni reprochable desde la perspectiva axiológica, al no contravenir valores o principios contenidos en la Constitución y ser conforme con las previsiones de los convenios internacionales citados en la Sentencia, entre ellos, la Convención única sobre estupefacientes de 1961 que reconoce que la “toxicomanía constituye un mal grave para el individuo y entraña un peligro social y económico para la humanidad” y la Decisión Marco 2004/757/JAI del Consejo, de 25 de octubre de 2004, relativa al establecimiento de disposiciones mínimas de los elementos constitutivos de delitos y las penas aplicables en el ámbito del tráfico ilícito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también cuestiona desde la perspectiva del derecho a la legalidad penal la decisión del Tribunal Supremo de no aplicar la modalidad atenuada del delito contra la salud pública prevista en el artículo 368.2 CP a la totalidad de los acusados (motivo decimoprimero), e incluso su opción por el carácter vencible del error de prohibición (motivos decimosegundo y decimotercero).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lesiones no se pueden disociar conceptualmente de los motivos de vulneración del derecho fundamental a la legalidad penal analizados más arriba, pues establecida la legitimidad constitucional de la subsunción jurídica de los hechos probados en la configuración básica del delito contra la salud pública contenida en el apartado primero del artículo 368 CP, la selección de los tipos penales más idóneos, dentro del mismo capítulo del Código penal, para abarcar el desvalor de la conducta enjuiciada y el grado de culpabilidad de sus autores no sería revisable por este Tribunal salvo que apreciara que el órgano judicial ha extralimitado manifiestamente sus funciones mediante una interpretación extravagante o impredecible de las normas concurrentes. En relación con los límites constitucionalmente oponibles a la tarea judicial de selección de las normas aplicables al caso, este Tribunal ha dicho que “los órganos judiciales, al realizar el proceso de subsunción de los hechos en una norma penal, no pueden prescindir de la existencia de otras normas, con las que pueden existir relaciones concursales, que han de resolver conforme a pautas interpretativas y axiológicas que no sean extravagantes y que no conduzcan a resultados imprevisibles para el ciudadano. En definitiva, nuestro control en materia de legalidad penal ha de extenderse a la solución de las relaciones concursales entre los tipos penales, en la medida en que las mismas delimitan los ámbitos de aplicación de cada uno de ellos y, por tanto, el ámbito de lo punible”, aunque se recordaba también que “a este Tribunal no le compete pronunciarse sobre la interpretación última de los tipos sancionadores, ni controlar la corrección del proceso de subsunción de los hechos probados en la norma aplicada, ya que esa es función que el art. 117.3 CE encomienda en exclusiva a la jurisdicción ordinaria”, sometiendo la decisión a unas exigencias básicas de predictibilidad (STC 13/2003,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segunda Sentencia del Tribunal Supremo explicita suficientemente las razones por las que discrimina el título de imputación aplicable a quienes ejercían una actividad continuada en la asociación, de carácter no esporádico y prolongada durante meses, caso en el que se encontraban los demandantes don Martín Francisco Barriuso Alonso y doña Maitane Arrate Sustatxa, a los que aplica el subtipo especial cualificado del artículo 369.5 CP —en relación con el artículo 368.1 CP— teniendo en cuenta la importancia de la sustancia incautada, representativa únicamente de una parte de la sustancia efectivamente distribuida, y quienes colaboraron manipulando y preparando una cantidad no determinada de sustancia estupefaciente, caso en el que se encontraban los demandantes de amparo don Enrique Javier Barazón Amat y doña Pilar Fernanda Badiola Mazariegos, a los que aplica el subtipo especial privilegiado del artículo 368.2 CP por considerar que habían incurrido en un hecho de menor entidad. El Tribunal Supremo no ha incurrido en una metodología irracional o absurda de selección de normas al graduar de este modo la respuesta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también el reproche relativo a la aplicación restrictiva del artículo 368.2 CP, por no alcanzar a la totalidad de los acusados en el procedimiento, constituye una mera discrepancia de parte con la interpretación judicial del derecho que resulta intrascendente desde la perspectiva de la integridad y eficacia del principio de legalidad penal reconocido en 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conduce el examen de la estructura racional de la segunda Sentencia del Tribunal Supremo cuando aprecia la concurrencia en los acusados de un error de prohibición susceptible de atenuar, pero no de eximir, su responsabilidad penal. El Tribunal Supremo infiere el carácter vencible del error al admitir que los demandantes pudieran haber experimentado una percepción equivocada de que el cultivo asociativo de cannabis pudiera ser una conducta legalmente tolerada, a partir de una incorrecta comprensión de la doctrina jurisprudencial del consumo compartido, de la existencia de resoluciones judiciales que han negado relevancia penal a supuestos similares y de la presencia de asociaciones similares en la geografía nacional. El Tribunal Supremo considera que los recurrentes mostraron una actitud de “relativa indiferencia” a la cuestión de la legalidad de su actuación, y entiende que albergaron dudas sobre la misma que no trataron de despejar, asumiendo con ello el riesgo de la ilicitud. Para ello parte de la deliberada falta de claridad de los estatutos asociativos, que omitieron mencionar entre sus objetivos el cultivo de cannabis para su distribución entre los socios, señalando al respecto que “[s]u eventual creencia equivocada se hubiese despejado probablemente mediante la presentación de sus estatutos ante la autoridad gubernativa con una descripción transparente de la real actividad que se proponían sin esconderla bajo fórmulas ambiguas e invocaciones retóricas de unos consejos jurisprudenciales. Si ante eso la autoridad gubernativa, pese a tratarse de una actividad claramente ilegal, hubiese dado curso a la inscripción, de forma tácita o expresa, podríamos plantearnos —no asegurar— la inevitabilidad del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validez y suficiencia de los razonamientos empleados por la segunda Sentencia del Tribunal Supremo para aplicar el artículo 14.3 CP no queda comprometida, como la demanda de amparo parece sugerir, por la preexistencia de resoluciones judiciales divergentes en el tratamiento penal que han de recibir las conductas consistentes en el cultivo asociativo del cannabis, pues el Tribunal Supremo razona adecuadamente que el principio de confianza en la jurisprudencia no es justificación suficiente de la invencibilidad del error de prohibición cuando es precisamente el órgano supremo en la escala judicial el que afirma la tipicidad del hecho frente al criterio discordante y contradictorio de la jurisprudencia menor, añadiendo que ni tan siquiera la confluencia de sentencias contradictorias procedentes de tribunales de igual jerarquía permitiría excluir de plano la conciencia eventual del ilícito. Tampoco se observa que el Tribunal Supremo haya experimentado un cambio de criterio en el juicio de tipicidad aplicable a estas conductas, pues los tres pronunciamientos que son objeto de cita en el escrito de alegaciones formulado por los demandantes, SSTS 563/2016, de 27 de junio, 571/2016, de 29 de junio, y 698/2016, de 7 de septiembre, vienen a “enriquecer o robustecer las razones” —utilizando los expresivos términos a los que recurre la STS 91/2018, de 21 de febrero, fundamento de Derecho 1— que justifican que este tipo de conductas sigan siendo incardinadas en el artículo 368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aplicación del artículo 14.3 CP en la segunda Sentencia del Tribunal Supremo no presenta fallas argumentales que la hagan constitucionalmente cuestionable desde la perspectiva del principio de legalidad penal garantizado en el artículo 25.1 CE, aunque se sustenta en un presupuesto fáctico, el conocimiento imperfecto o eventual de la ilicitud de su conducta por parte de los demandantes, que difícilmente puede ser declarado sin un contacto inmediato con las fuentes de la prueba, cuestión que se adentra en el terreno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agotamiento de los motivos de amparo que se cobijan en el ámbito protector del artículo 25.1 CE exige abordar los aducidos en el octavo de ellos, cuando atribuye el origen de la lesión a la aplicación retroactiva de una supuestamente novedosa interpretación del artículo 368 CP. En este punto es inevitable conformar la respuesta siguiendo las pautas fijadas en la STC 146/2017, FJ 5, por la similitud fáctica y jurídica del caso planteado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demandantes invocan como fundamento de su pretensión anulatoria la doctrina emanada de la STEDH de 21 de octubre de 2013 (asunto Del Río Prada c. España). Hemos de negar, sin embargo, la premisa mayor esgrimida en el recurso, pues el caso sometido a nuestro enjuiciamiento, a diferencia del abordado por la Sentencia indicada, no ha supuesto una aplicación retroactiva de una interpretación jurisprudencial desfavorable e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precisar en el fundamento jurídico 4 del ATC 155/2016, de 20 de septiembre, en el supuesto resuelto en la citada Sentencia del Tribunal Europeo, “la penada había obtenido una primera decisión judicial firme (Auto de la Audiencia Nacional de 30 de noviembre de 2000) que determinaba, de forma definitiva, la pena total que le resultaba aplicable. Esa decisión inicial, beneficiosa para la penada, implicaba que, conforme a la práctica judicial entonces existente y pacífica, las redenciones de penas por trabajo consolidadas conforme al Código penal de 1973, debían proyectarse sobre el límite máximo de cumplimiento resultante de la acumulación de condenas (en el entendimiento de que dicha acumulación generaba una pena de nuevo cuño, con dimensión sustantiva propia). La penada contaba, de este modo, con una primera decisión judicial firme que suponía que la legalidad penal le debía ser aplicada de un modo determinado, lo que le generaba la expectativa inequívoca de que el cumplimiento de la condena de prisión de 30 años, resultante de la acumulación, se vería reducida por la aplicación de las redenciones de pena por trabajo obtenidas previamente, de ahí que el tiempo de cumplimiento efectivo de aquélla aún se habría acortado más. Cuando, en el año 2008, se produjo la decisión judicial que le aplicó el sistema de cómputo de las redenciones de un modo completamente distinto (perjudicial para la afectada) tuvo lugar, como señala la resolución del Tribunal Europeo, una aplicación retroactiva desfavorable de la legalidad penal que supuso, de facto, una alteración sustancial de la penalidad que ya había sido establecida judicialmente para ese proceso. Dada la práctica judicial existente hasta ese momento, tal variación de la penalidad no era en modo alguno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Perfilada de este modo la doctrina constitucional sobre lo que puede legítimamente considerarse una aplicación retroactiva de nuevas construcciones jurisprudenciales constitucionalmente proscrita, es evidente que el presente caso no queda abarcado en la misma, pues el Tribunal Supremo introdujo como argumento decisorio determinante del juicio positivo de tipicidad, mediante la cita del inmediato precedente constituido por su STS 484/2015, un pronunciamiento cronológicamente anterior a la comisión de los hechos enjuiciados, el constituido por la STS 1377/1997, de 17 de noviembre, del que cabía extraer con meridiana claridad que el cultivo compartido de cannabis en el ámbito de una asociación no podía aspirar al grado de tolerancia judicial que los demandantes de amparo afirman que era objetivamente esperable. Es elocuente, sin necesidad de mayores comentarios, que la STS 1377/1997 estimara un recurso de casación por infracción de ley interpuesto por el Ministerio Fiscal contra una sentencia de primera instancia que absolvió a los procesados del delito de cultivo de drogas y estupefacientes, y que el Tribunal Supremo se pronunciara en términos contundentes, al condenar a los responsables de una asociación de similar naturaleza a la participada por los demandantes, que había arrendado una finca para la plantación de cannabis con destino exclusivo al autoconsumo de sus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hemos de descartar que en este caso se haya producido una aplicación retroactiva de un novedoso criterio interpretativo desfavorable e imprevisible que venga a sustituir a otro más beneficioso.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en el análisis de las vulneraciones de naturaleza procesal, comprobamos que los demandantes de amparo protestan la infracción de su derecho a un proceso con todas las garantías (art. 24.2 CE) por haberse efectuado en las resoluciones impugnadas una valoración de las pruebas personales sin inmediación, en relación con la consideración de la conducta como típica y al conocimiento que los acusados tenían o debían tener sobre el carácter prohibido de su conducta, aludiendo en este punto también a la afectación de su derecho a la presunción de inocencia; aducen asimismo haberse visto privados de su derecho de defensa, por haber sido condenados sin haber tenido la oportunidad de ser oídos, así como por habérseles privado de una instancia penal posterior a la condena. De forma puntual también invocan la vulneración del derecho a la tutela judicial efectiva, por incongruencia omisiva, y del derecho a la presunción de inocencia por darse por probado que la sustancia incautada era cannabis y su peso, incurriendo en este último punto en una actitud incongruente, pues en la jurisdicción ordinaria no se discutieron los hechos sino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conveniente empezar efectuando una sintética exposición de la evolución de la doctrina constitucional relativa al derecho a un proceso con todas las garantías y al derecho de defensa (art. 24.2 CE), vinculada a las condenas o la agravación de las mismas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Retomamos aquí la síntesis de doctrina constitucional efectuada en la STC 146/2017, FFJJ 6 y 7, cuando indicaba que el derecho a un proceso con todas las garantías ha sido objeto de un detenido y extenso análisis en numerosas Sentencias, inspiradas en la doctrina del Tribunal Europeo de Derechos Humanos (entre otras, SSTEDH de 26 de mayo de 1988, asunto Ekbatani c. Suecia, o de 27 de junio de 2000, asunto Constantinescu c. Rumania). En la STC 167/2002, de 18 de diciembre, FFJJ 9 a 11, el Pleno de este Tribunal Constitucional, señaló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doctrina constitucional, reiterada en numerosas resoluciones (entre las últimas, SSTC 126/2012, de 18 de junio, FJ 2; 22/2013, de 31 de enero, FJ 4, o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destacado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SSTC 272/2005, de 24 de octubre, FJ 5, o 153/2011, de 17 de octubre, FJ 4), o de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ésta,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centrándose en la cuestión de la acreditación de los elementos subjetivos del delito, se vino considerando, también en proyección de la doctrina de la STC 167/2002, que, desde la perspectiva de la exigencia de inmediación, el elemento determinante para concluir la eventual vulneración del derecho a un proceso con todas las garantías era verificar si el razonamiento judicial sobre la concurrencia de ese elemento subjetivo por el órgano judicial de segunda instancia se fundamentaba en elementos de prueba que exigieran inmediación (por todas, entre las últimas, SSTC 127/2010, de 29 de noviembre, FFJJ 3 y 4, o 126/2012, de 18 de junio, FJ 3); o, por el contrario, se vinculaba con pruebas que no tuvieran carácter personal (así, STC 137/2007, de 4 de junio, FJ 3) o sobre la base de un control de la razonabilidad de la inferencia llevada a cabo en instancia, a partir de unos hechos base que se dan por acreditados, argumentando que, en este último caso, se trata de una cuestión de estricta valoración jurídica que no exige la reproducción del debate público y la inmediación (por todas, SSTC 328/2006, de 20 de noviembre, FJ 3, o 184/2009,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13 de diciembre de 2011, asunto Valbuena Redondo c. España, § 29; 20 de marzo de 2012, asunto Serrano Contreras c. España, § 31. A las que siguieron con posterioridad las SSTEDH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éstas últimas expusieran sus argumentos en respuesta a las conclusiones expuestas (asunto Serrano Contreras, anteriormente citada, § 36).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ha sido decisivo en la determinación de la culpabilidad de los demandantes, pues el Tribunal Supremo sí que concluyó que hubo intencionalidad por parte de los demandantes sin valorar directamente su testimonio, conclusión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(asunto Serrano Contreras, anteriormente citada, § 39). Y habida cuenta de todas las circunstancias del proceso, concluyó que los demandantes han sido privados de su derecho a defenderse en el marco de un debate contradictorio, en consecuencia, por lo que ha habido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los criterios expuestos al presente caso permite ya anticipar la vulneración del derecho a un proceso con todas las garantías y del derecho de defensa en relación con el conocimiento que los acusados tenían o debían tener sobre el carácter prohibido de su conducta, no así en relación con la consideración de la conducta como 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Aplicando tal parámetro y atendidas las circunstancias concurrentes, es de observar, en torno a la garantía de la inmediación como pilar central de la valoración de las pruebas personales, como afirma el Ministerio Fiscal, que no ha existido una alteración sustancial de los hechos probados, ni tampoco una reconsideración de prueba personal, en la conclusión alcanzada por el Tribunal Supremo al calificar los hechos probados como subsumibles en el tipo penal descrito en el artículo 368 CP y descartar que fuera de aplicación la doctrina del consumo compartido. En efecto, se ha expuesto en los antecedentes que la Sentencia de instancia absolvió a los demandantes al considerar que los hechos probados encajaban en la excepción de atipicidad de “autoconsumo compartido”. Planteada por el Ministerio Fiscal, en el recurso de casación, una discrepancia en la subsunción jurídica, al entender, que en atención al relato de hechos probados, no era de aplicación la doctrina del consumo compartido, el Tribunal Supremo se limitó a resolver una divergencia estrictamente jurídica, esto es, la discusión y la decisión casacional versaron sobre la concurrencia o no de los presupuestos exigidos en la jurisprudencia para apreciar la atipicidad penal derivada del consumo compartido. De tal modo que la subsunción de la conducta probada en el tipo finalmente aplicado por el Tribunal Supremo —que no consideró que concurrieran las condiciones para apreciar la exclusión de la tipicidad por consumo compartido—, se desarrolló al margen de cualquier reinterpretación o revisión de los hechos probados, y por ello, extramuros del alcance de la garantía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era indispensable contar con una audiencia pública de los acusados, al haberse limitado el Tribunal Supremo a efectuar una interpretación diferente en derecho a la del órgano judicial a quo en cuanto a un conjunto de elementos objetivos (STEDH de 10 de marzo de 2009, asunto Igual Coll c. España, § 36), resolviendo el debate estrictamente jurídico que le había sido planteado por el Ministerio Fiscal en su recurso de casación. El Tribunal Supremo, al fundamentar el encaje de la conducta probada en el tipo penal, se limitó a un aspecto puramente jurídico, y en tales circunstancias, tampoco el derecho de defensa de los acusados exigía que hubieran sido oídos por el Tribunal Supremo, que fue el primero en condenarles, pues tal audiencia de los recurrentes nada hubiera aportado sobre la divergencia de naturaleza estrictamente jurídica planteada (STEDH de 27 de junio de 2000, asunto Constantinescu c. Rumanía, §§ 58 y 59 y STC 45/2011,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conclusión debemos alcanzar en relación con la segunda de las cuestiones suscitadas, esto es, la relativa al respeto de la exigencia de inmediación en la valoración de pruebas personales y del deber de audiencia de los acusados como garantías específicas del derecho a un proceso con todas las garantías y del derecho de defensa respectivamente por el Tribunal Supremo al efectuar la inferencia sobre el conocimiento de la antijuridicidad de los recurrentes subyacente a la calificación como vencible o invencible el error de prohibición en el que incurrieron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planteado presenta las mismas singularidades que el abordado en la STC 146/2017, y que son las siguientes: i) el error de prohibición no había sido alegado por los recurrentes ante la Audiencia Provincial, como tampoco lo había sido en el recurso de casación; ii) la cuestión del error es analizada de oficio, en tanto que beneficiosa para los acusados, con posterioridad a estimar el primer motivo del recurso de casación, esto es, tras considerar que la conducta era típica y en consecuencia anular la Sentencia absolutoria de la Audiencia Provincial; iii) el Tribunal Supremo es quien abre un trámite para que las defensas de los acusados y el Ministerio Fiscal informen sobre si concurren los presupuestos del error previsto en el artículo 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precisamente estas vicisitudes, y especialmente, el carácter favorable de la apreciación del error vencible de prohibición, lo que llevó a que el Tribunal Supremo descartara la vulneración del derecho de defensa, por no haber dado la posibilidad de oír a los acusados. Por otra parte, constituyen precisamente esas peculiaridades una de las razones que llevaron a apreciar que concurría en este asunto una especial trascendencia constitucional porque el recurso podía dar ocasión al Tribunal para aclarar o cambiar su doctrina, como consecuencia de un proceso de reflexión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coincidirse con el Ministerio Fiscal en que de haber limitado el Tribunal Supremo su actuación al primer motivo casacional, la tipicidad o atipicidad de la conducta probada, la condena de los inicialmente absueltos no hubiera merecido reproche constitucional alguno ni desde la garantía de inmediación ni desde la perspectiva del derecho de defensa conforme a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por el que la segunda Sentencia del Tribunal Supremo descarta el carácter invencible del error de prohibición y estima que concurre el error de prohibición vencible se sustenta en la inferencia llevada a cabo a partir de unos hechos base reflejados en los hechos probados tomando en consideración el contexto sociológico, el debate suscitado en pronunciamientos judiciales y el tenor de los estatutos de la asociación afectada. Ahora bien, el Tribunal Supremo, aunque formalmente no modifica el relato de hechos probados de la Sentencia de instancia —que había detenido su juicio en el elemento de la tipicidad penal— lo completa al introducir un nuevo elemento fáctico que imposibilita la exención de la responsabilidad penal y que a la postre será determinante de la condena en la segunda de las Sentencias. Es precisamente en esta segunda Sentencia en la que el Tribunal Supremo llega a la convicción de que los recurrentes se representaron como posible la antijuridicidad de su actividad y que no trataron de despejar esa duda, lo que le lleva a apreciar el error de prohibición como vencible y excluye, por dicha razón, su invencibilidad. Ahora bien, para alcanzar tal conclusión el Tribunal Supremo orilló cualquier ponderación de las declaraciones personales practicadas ante la Audiencia Provincial; en concreto, eludió valorar las declaraciones de los coacusados, en las que, según se refiere en los escritos de alegaciones presentados por sus defensas ante el Tribunal Supremo, manifestaron su convicción de estar actuando dentro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el Tribunal Supremo abre el debate sobre la conciencia de la antijuridicidad de la conducta y solicita a las partes que le informen sobre la concurrencia de un error del artículo 14 CP, se introduce en una realidad jurídico penal intrínsecamente vinculada con la culpabilidad de los acusados, decantando su decisión no por la solución que exonera de la responsabilidad penal interesada por la defensa de los acusados —lo que hubiera determinado una respuesta penal absolutoria, como la de la instancia, carente por ello de esta específica problemática constitucional—, sino por una exoneración parcial, al considerar que el error padecido por los acusados era vencible, lo que a la postre lleva a que se condene a los inicialmente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Supremo, en su segunda Sentencia, condena a los acusados absueltos al descartar que el error de prohibición fuera invencible, esto es, rechaza que los acusados tuvieran certeza de la licitud de su actuación —tesis mantenida en el trámite de alegaciones por los letrados de los acusados—. Para alcanzar tal conclusión la Sentencia efectúa un razonamiento deductivo que partiendo de los hechos probados le lleva a afirmar que los acusados sopesaban y se representaban como posible la antijuridicidad de su actividad, lo que determina la exclusión de la invencibilidad del error y en consecuencia la revocación de la previa absolución sin atender la exigencia de la audiencia personal del acusado como garantía específica vinculada al derecho de defensa (art. 24.2 CE), y ello pese a que el núcleo de lo debatido, introducido de oficio por el Tribunal Supremo, afectaba con carácter general a la declaración de inocencia o culpabilidad y no versaba sobre estrictas cuestiones jurídicas (este era el caso de las SSTC 45/2011, de 11 de abril, FJ 3, o 153/2011, de 17 de octubre, FJ 6). El razonamiento del Tribunal Supremo versó sobre la intención de los acusados inferida de los hechos probados completados y reinterpretados con el examen de la prueba documental, por lo que la cuestión no podía ser resuelta sin dar la posibilidad a los recurrentes de ser oídos personalmente, y sin que dicha garantía pudiera ser sustituida por el trámite de alegaciones concedido a sus abogados, dada la naturaleza de las cuestiones de hecho y de derecho determinantes de la culpabilidad o de la inocencia,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destacar que la reconsideración de los hechos estimados probados en primera instancia no se limitó a una mera discrepancia jurídica, sino a la apreciación de la posibilidad de conocer lo ilícito de su conducta, concluyendo con la alternativa —error vencible de prohibición— que agravaba la absolución de la instancia, por lo que la posibilidad de los condenados de ser oídos era obligada para garantizar su defensa (por todas, la reciente STEDH de 8 de marzo de 2016, asunto Porcel Terribas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considerarse producida la vulneración del derecho a un proceso con todas las garantías y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Constatada así la infracción del derecho a un proceso con todas las garantías y del derecho de defensa (art. 24.2 CE) en su concreción relativa a la posibilidad de ser oído cuando se debaten cuestiones de hecho y de Derecho por el Tribunal que dictó el pronunciamiento condenatorio, ha de otorgarse el amparo solicitado sin que sea necesario, en virtud de la extensión de la retroacción de actuaciones que se seguirá de la estimación de estos motivos, adentrarse en el análisis de las restantes vulneraciones de índole procesal que el recurso ha hilvanado en torno a diversas formas de desconocimiento del derecho a la tutela judicial efectiva, presunción de inocencia y derecho a un proceso con todas las garantías por falta de una instancia penal posterior a la condena (STC 157/2013,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determinar los efectos del otorgamiento del amparo, pese a que es en la segunda Sentencia del Tribunal Supremo donde se concretan las vulneraciones de los derechos fundamentales que lo justifica, dicha Sentencia forma con la primera, de la que trae causa —y en cuyo fundamento de derecho segundo ya se adelanta la apreciación de un error de prohibición vencible— un conjunto inescindible del que resulta la revocación de la previa absolución sin atender las exigencias de inmediación y de audiencia personal de los acusados como garantías específicas vinculadas al derecho a un proceso con todas las garantías y del derecho de defensa (art. 24.2 CE). Por lo que para el pleno restablecimiento de los recurrentes en sus derechos resulta procedente la anulación de las dos Sentencias del Tribunal Supremo y del Auto desestimatorio del incidente de nulidad de actuaciones en tanto que no reparó dichas vulneraciones, retrotrayendo las actuaciones al momento inmediatamente anterior al dictado de la primera de ellas, para que el Tribunal Supremo se pronuncie sobre el recurso de casación interpuesto por el Ministerio Fiscal con respeto al contenido de los derechos fundamentales ya mencionados, así como de la interdicción de reformatio in peius.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Martín Francisco Barriuso Alonso, don Enrique Javier Barazón Amat, doña Maitane Arrate Sustatxa y doña Fernanda Pilar Badiola Mazariegos,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 los demandantes a un proceso con todas las garantías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dos Sentencias de la Sala Segunda del Tribunal Supremo de 9 de diciembre de 2015 y del Auto de 15 de febrero de 2016 que desestimó el incidente de nulidad de actuaciones, dictadas en el rollo de casación núm. 834-2015, retrotrayendo las actuaciones al momento inmediatamente anterior al dictado de la primera de las sentencias, para que el Tribunal Supremo proceda de modo respetuoso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