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17 de septiembre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Magistrados, y doña María Luisa Balaguer Callejón, Magistrada,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4432-2015, 4433-2015, 4434-2015 y 4435-2015 (acumulados), promovidos por doña Marina Sagastizabal Emilio-Yus, don Xabat Morán Ruiz, don Bergoi Madernaz del Pozo y doña Ainhoa Villaverde Barrutiabengoa, respectivamente, representados por el Procurador de los Tribunales don Javier Cuevas Rivas y bajo la dirección de la Letrada doña Atxarte Salvador Navarro, excepto don Xabat Moran Ruiz, que lo hace bajo la dirección del Letrado don Kepa Mantzizidor Txirapozu, contra sendos Autos de la Sección Cuarta de la Sala de lo Penal de la Audiencia Nacional de 5 de junio de 2015, por los que se desestiman los recursos de súplica interpuestos contra los Autos de 6 y 13 de mayo de 2015, por los que se acuerda, respectivamente, la prisión provisional de los recurrentes y la denegación de su puesta en libertad por falta de convocatoria de comparecencia del artículo 505 de la Ley de enjuiciamiento criminal, dictados en las respectivas piezas separadas de situación personal de cada uno de los recurrentes en el rollo de sala núm. 1-2012. Ha intervenido el Ministerio Fiscal. Ha sido Ponente la Magistrada doña Maria Luisa Balaguer Callejón,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Javier Cuevas Rivas, en nombre y representación de doña Marina Sagastizabal Emilio-Yus, y bajo la dirección de la Letrada doña Atxarte Salvador Navarro, interpuso demanda de amparo contra las resoluciones judiciales que a ella afectan y que se mencionan en el encabezamiento de esta Sentencia mediante escrito registrado en este Tribunal el 23 de julio de 2015, dando lugar al recurso de amparo núm. 4432-2015.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Procurador de los Tribunales don Javier Cuevas Rivas, en nombre y representación de don Xabat Moran Ruiz, y bajo la dirección del Letrado don Kepa Mantzizidor Txirapozu, interpuso demanda de amparo contra las resoluciones judiciales que a él afectan y que se mencionan en el encabezamiento de esta Sentencia mediante escrito registrado en este Tribunal el 23 de julio de 2015, dando lugar al recurso de amparo núm. 4433-2015.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Procurador de los Tribunales don Javier Cuevas Rivas, en nombre y representación de don Bergoi Madernaz del Pozo, y bajo la dirección de la Letrada doña Atxarte Salvador Navarro, interpuso demanda de amparo contra las resoluciones judiciales que a él afectan y que se mencionan en el encabezamiento de esta Sentencia mediante escrito registrado en este Tribunal el 23 de julio de 2015, dando lugar al recurso de amparo núm. 4434-2015.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Procurador de los Tribunales don Javier Cuevas Rivas, en nombre y representación de doña Ainhoa Villaverde Barrutiabengoa, y bajo la dirección de la Letrada doña Atxarte Salvador Navarro, interpuso demanda de amparo contra las resoluciones judiciales que a ella afectan y que se mencionan en el encabezamiento de esta Sentencia mediante escrito registrado en este Tribunal el 23 de julio de 2015, dando lugar al recurso de amparo núm. 4435-2015.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recursos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fueron imputados por el Juzgado Central de Instrucción núm. 3 por un delito de integración en organización terrorista, por su pertenencia a la organización Segi, en las diligencias previas núm. 371/2009, posteriormente transformadas en el sumario núm. 1-2012. En dicho procedimiento se acordaron inicialmente las siguientes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recurrente en el recurso de amparo núm. 4432-2015, doña Marina Sagastizabal Emilio-Yus, fue detenida el 22 de octubre de 2010, acordándose por Auto de 26 de octubre de 2010 su prisión provisional eludible mediante fianza. Fue puesta en libertad el 27 de octubre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recurrente en el recurso de amparo núm. 4433-2015, don Xabat Moran Ruiz, fue detenido el 22 de octubre de 2010, acordándose por Auto de 26 de octubre de 2010 su prisión provisional incondicional. Por Auto de la Sección Tercera de la Sala de Penal de la Audiencia Nacional de 9 de febrero de 2012 se acordó sustituir la prisión provisional incondicional por la de prisión provisional eludible mediante fianza. Fue puesto en libertad el 10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recurrente en el recurso de amparo núm. 4434-2015, don Bergoi Madernaz del Pozo, por Auto de 22 de octubre de 2010, fue puesto en busca y captura al acordarse su prisión provisional. El día 12 de abril de 2011 fue entregado a España en ejecución de una orden europea de detención y entrega, acordándose por Auto de 12 de abril de 2011 la prisión preventiva. Por Auto del Juzgado Central de Instrucción núm. 3 de 28 de junio de 2012 se acordó sustituir la prisión provisional incondicional por la de prisión provisional eludible mediante fianza, siendo puesto en libertad ese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recurrente en el recurso de amparo núm. 4435-2015, doña Ainhoa Villaverde Barrutiabengoa, fue detenida el 16 de diciembre de 2010, acordándose por Auto de 20 de diciembre de 2010 su prisión provisional incondicional. Por Auto del Juzgado Central de Instrucción núm. 3 de 27 de marzo de 2012 se acordó sustituir la prisión provisional incondicional por la de prisión provisional eludible mediante fianza, siendo puesta en libertad ese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fueron condenados por Sentencia de la Sección Cuarta de la Sala de lo Penal de la Audiencia Nacional de 6 de mayo de 2015 como autores de un delito de integración en organización terrorista a la pena de seis años de prisión en el rollo de sala núm. 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Sección Cuarta de la Sala de lo Penal de la Audiencia Nacional por sendos Autos de 6 de mayo de 2015 acordó respecto de todos los recurrentes “la localización, notificación de la Sentencia y la prisión provisional incondicional y comunicada”. A estos efectos, señalando como antecedente la existencia de la citada condena, se argumenta que (i) el artículo 539 de la Ley de enjuiciamiento criminal (LECrim) establece “que los autos de prisión y libertad provisionales son reformables durante el curso de la causa, añadiendo que, si a juicio del juez, hubiere riesgo de fuga de quien se encontrare en libertad procederá a dictar auto de reforma de la medida cautelar” y (ii) que en el presente caso existe un elevado e inminente riesgo de fuga de que los condenados intenten sustraerse a la acción de la justicia ante la nueva situación generada por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recurrentes solicitaron mediante sendos escritos de 11 de mayo de 2015 su libertad alegando, entre otros motivos, el incumplimiento de lo previsto en los artículos 539 y 505 LECrim en lo relativo a la necesidad de que en el plazo de 72 horas desde la detención se convocara una audiencia en relación con la adopción de la medida cautelar de prisión provisional. La solicitud fue denegada en todos los casos mediante sendos Autos de 13 de mayo de 2015 con fundamento en que “la comparecencia prevista en el artículo 505 de la Ley de Enjuiciamiento Criminal, como trámite previo a acordar la prisión provisional de un individuo no resulta aplicable a los supuestos de condena impuesta en Sentencia, pues esta constituye `título ejecutivo´ que habilita al Tribunal sentenciados a acordar su inmediata efectividad cuando se detecte un elevado riesgo de fuga —que en nuestro caso se palpaba en grado superlativo— y que se ha materializado con la puesta fuera del alcance de la acción de la justicia de tres de los siete condenados, al ser alertados de la inminente notificación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recurrentes interpusieron recursos de súplica por sendos escritos de 20 de mayo de 2015 insistiendo en que el párrafo cuarto del artículo 539 LECrim establece que si bien el órgano judicial puede dictar un auto de reforma de la medida cautelar acordando la prisión cuando concurran los presupuestos legales necesarios debe convocar para dentro de las 72 horas siguientes la comparecencia a la que se refiere el artículo 505 LECrim. Los recursos fueron desestimados por sendos Autos de 5 de junio de 2015 poniendo de manifiesto “que la Ley de Enjuiciamiento Criminal, no establece la necesidad de comparecencia, similar a la establecida en el art. 505 LECrim para decretar la prisión provisional, en el caso de cumplimiento de condena impuesta por sentencia, como ocurre en el presente caso. En este caso no se trata de un detenido que comparece ante esta Sección, sino de un procesado que tras el acto de la vista y habiendo sido valoradas las pruebas practicadas en la misma, ha sido declarado culpable. Existe por tanto un `título ejecutivo´ que habilita a la Sala a acordar el inmediato cumplimiento de la condena si concurre, como es el caso, un peligro de sustracción a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Todos los recurrentes, excepto doña Ainhoa Villaverde Barrutiabengoa, fueron absueltos por Sentencia de la Sala de lo Penal del Tribunal Supremo de 19 de noviembre de 2015, dictada en el recurso de casación núm. 10461-2015, dejando sin efecto todas las medidas cautelares personales y materiales que le hubieran sido impuestas. La recurrente doña Ainhoa Villaverde Barrutiabengoa vio modificada su pena en dicha Sentencia de casación quedando fijada en dos años de prisión y accesorias.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alegan de manera coincidente en todas sus demandas de amparo que se ha vulnerado su derecho a la libertad personal (art. 17.1 CE), ya que la decisión judicial de acordar su prisión provisional conjuntamente con la notificación de la sentencia condenatoria de instancia a una pena de seis años de prisión por apreciarse un elevado e inminente riesgo de fuga, modificando su situación personal de libertad bajo fianza, se ha acordado con infracción de la previsto en el artículo 539 LECrim, que establece la exigencia de que se convoque la comparecencia del artículo 505 LECrim, dentro del plazo de las 72 horas siguientes desde que se dicte el auto decretando la medida cautelar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justifican de manera coincidente en sus demandas de amparo que no existe jurisprudencia del Tribunal Constitucional sobre el procedimiento a seguir para la adopción de la medida cautelar de prisión provisional tras la modificación del artículo 539 LECrim mediante la Ley Orgánica 13/2003, de 24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Primera de este Tribunal, por providencia de 2 de noviembre de 2016, acordó la admisión a trámite del recurso de amparo núm. 4432-2015,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en aplicación de lo dispuesto en el artículo 51 LOTC, requerir atentamente de los órganos judiciales la remisión del testimonio de las actuaciones y el emplazamiento de quienes hubieran sido parte en el procedimiento, a excepción de la recurrente,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Secretaría de Justicia de la Sala Primera de este Tribunal, por diligencia de ordenación de 21 de diciembre de 2016, acordó en el recurso de amparo núm. 4432-2015 tener por recibido el testimonio de las actuaciones y dar vista de las actuaciones al Ministerio Fiscal y a la recurrente en amparo por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el 27 de enero de 2017, formuló alegaciones en el recurso de amparo núm. 4432-2015 interesando la estimación del recurso por vulneración del derecho a la libertad personal (art. 17.1 CE) de la recurrente y que se declare la nulidad de las resoluciones impugnadas, así como la del Auto de 21 de mayo de 2015 que acuerda el mantenimiento de la situación de privación de libertad hasta el máximo de la mitad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comienza afirmando que, en efecto, el presente recurso de amparo plantea una cuestión novedosa sobre la que no existe jurisprudencia constitucional, ya que (i) la STC 62/1996, de 15 de abril, si bien aborda una situación semejante lo es en un contexto normativo diferente al ahora vigente que es el resultado de las modificaciones operadas en la Ley de enjuiciamiento criminal por las Leyes Orgánicas 5/1995, de 22 de mayo, y 8/1995, de 16 de noviembre, y (ii) las SSTC 22/2004, de 23 de febrero, y 50/2009, de 23 de febrero, se dictan ante un presupuesto fáctico diferente referido a la posibilidad de acordar la prórroga de una prisión preventiva tras el dictado de la sentencia de primera instancia pero de una persona que ya se encontraba en esa situación de prisión preventiva, que es un supuesto para el que el segundo párrafo del artículo 504.2 LECrim no establece ninguna referencia expresa a la forma o procedimiento para adoptar dicha decisión. Por el contrario, “para el supuesto que ahora se contempla —el de una persona que, estando en libertad provisional, es condenada en primera instancia y, como consecuencia de ello, ve modificada esa situación de libertad por otra de prisión provisional, a pesar de no ser firme la sentencia condenatoria— es evidente que existe una previsión legal específica en los párrafos tercero y cuarto del art. 539 LECrim en relación con el art. 505 de igual texto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pone de manifiesto que es una jurisprudencia constitucional reiterada (i) que la adopción de medidas cautelares privativas de libertad exige, por imperativo, del artículo 17.1 CE, no solo que esté prevista legalmente sino también que se acuerde mediante el procedimiento legalmente regulado (SSTC 127/1984, de 26 de diciembre, FJ 2; 128/1995, de 26 de julio, FJ 3; 305/2000, de 11 de diciembre, FJ 3, y 210/2013, de 16 de diciembre, FJ 2) y (ii) que las decisiones judiciales que afectan al derecho a la libertad exigen un deber reforzado de motivación que implica comprobar la concordancia de las razones dadas por el órgano judicial con los fines de la norma aplicada (SSTC 163/2002, de 16 de septiembre, FJ 4, y 226/2015, de 2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argumenta que en el presente caso la recurrente se encontraba en situación de libertad cuando fue dictada su condena en primera instancia a una pena de seis años, por lo que el procedimiento para acordar su prisión provisional es el regulado en el párrafo cuarto del artículo 539 LECrim conforme al cual “si a juicio del juez o tribunal concurrieren los presupuestos del artículo 503, procederá a dictar auto de reforma de la medida cautelar, o incluso de prisión, si el investigado o encausado se encontrase en libertad, pero debiendo convocar, para dentro de las 72 horas siguientes, a la indicada comparecencia”, referida a la prevista en su párrafo tercero, que establece que “para acordar la prisión o la libertad provisional con fianza de quien estuviere en libertad o agravar las condiciones de la libertad provisional ya acordada sustituyéndola por la de prisión o libertad provisional con fianza, se requerirá solicitud del Ministerio Fiscal o de alguna parte acusadora, resolviéndose previa celebración de la comparecencia a que se refiere el artículo 505”. En atención a ello, el Ministerio Fiscal sostiene que “esa comparecencia constituye un requisito exigido por la ley y, por remisión del art. 17 .1 CE, exigido asimismo por la Constitución, en tanto en cuanto dispone de modo taxativo que nadie puede ser privado de su libertad sino en los casos y ‘en la forma’ previstos en la Ley”, concluyendo que las resoluciones judiciales impugnadas “no han satisfecho en modo alguno las exigencias constitucionalmente requeridas para las decisiones de adopción de la medida cautelar de prisión provisional en supuestos como el aquí planteado, al no haberse celebrado la inexcusable comparecencia establecida en los arts. 539 y 505 LECrim y, como consecuencia de ello, al no haber sido solicitada la adopción de esa medida cautelar por ninguna parte acusadora. Conclusión esta que no puede quedar desvirtuada por las consideraciones que efectúa la Sala en las resoluciones impugnadas, conforme a las cuales la sentencia condenatoria constituiría un `título ejecutivo´ que habilitaría al Tribunal sentenciador a acordar la inmediata efectividad de la condena, en atención a la presencia de un elevado riesgo de fuga, que en ese caso la Sala apreciaba en grado superlativo, pues dicho razonamiento, además de referirse a una situación fáctica distinta y fácilmente diferenciable —la de la persona privada provisionalmente de libertad que, tras el pronunciamiento de una sentencia en su contra, ve cómo se prorroga esa situación hasta el momento en que la sentencia alcance su firmeza—, ha provocado la omisión de los requisitos de forma legalmente establecidos para la adopción de una medida cautelar restrictiva de la libertad personal en desarrollo de una norma constitucional (el art. 17 .1 CE), con lo que dicho razonamiento resulta también manifiestamente insuficiente a la luz de la doctrina contenida en el fundamento jurídico 5 de la STC 226/2015 acerca del deber reforzado de motivación en los supuestos de afectación del valor libertad a que antes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recurrente en el recurso de amparo núm. 4432-2015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Primera de este Tribunal, por sendas providencias de 27 de febrero de 2017, acordó la admisión a trámite de los recursos de amparo núms. 4433-2015, 4434-2015 y 4435-2015, apreciando que concurre en los mismos una especial trascendencia constitucional (art. 50.1 LOTC) porque los recursos plantean un problema o afectan a una faceta de un derecho fundamental sobre el que no hay doctrina de este Tribunal [STC 155/2009, FJ 2 a)] y, en aplicación de lo dispuesto en el artículo 51 LOTC, requerir atentamente de los órganos judiciales el emplazamiento de quienes hubieran sido parte en el procedimiento, a excepción de los recurrentes, para que pudiesen comparecer en el plazo de diez días en los respectivos procesos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Secretaría de Justicia de la Sala Primera de este Tribunal, por sendas diligencias de ordenación de 26 de abril de 2017, acordó en los recursos de amparo núms. 4433-2015, 4434-2015 y 4435-2015 dar vista de las actuaciones al Ministerio Fiscal y a las partes personadas por plazo común de veinte días para presentar las alegaciones que estimasen pertinentes, de conformidad con el artículo 52 LOTC, y un plazo común de diez días para presentar alegaciones en relación con una posible acumulación de dichos recursos al recurso de amparo núm. 4432-2015, de conformidad con el artículo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por sendos escritos registrados el 22 de mayo de 2017, formuló alegaciones en los recursos de amparo núms. 4433-2015, 4434-2015 y 4435-2015 interesando su estimación por vulneración del derecho a la libertad personal (art. 17.1 CE) de los recurrentes y que se declare la nulidad de las resoluciones impugnadas, así como la del Auto de 21 de mayo de 2015 que acuerda el mantenimiento de la situación de privación de libertad hasta el máximo de la pena impuesta, con argumentos idénticos a los expresados en las alegaciones formuladas al recurso de amparo núm. 4432-2015.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demandantes en los recursos de amparo núms. 4434-2015 y 4435-2015, por sendos escritos registrados el 11 de mayo de 2017, y el demandante en el recurso de amparo núms. 4433-2015, por escrito registrados el 24 de mayo de 2017, presentaron sus alegaciones ratificándose en las formuladas en sus respectivas demandas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Sala Primera de este Tribunal, por Auto de 19 de junio de 2017, acordó la acumulación de los recursos de amparo núms. 4433-2015, 4434-2015 y 4435-2015, al recurso de amparo núm. 4432-2015.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Secretaría de Justicia de la Sala Primera de este Tribunal, por diligencia de ordenación de 28 de julio de 2017, acordó solicitar a la Sección Cuarta de la Sala de lo Penal de la Audiencia Nacional el testimonio de las piezas separadas de situación personal de los demandantes en cada uno de los recursos de amparo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13 de septiembre de 2018,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presentes recursos de amparo acumulados es determinar si las resoluciones judiciales impugnadas han vulnerado el derecho a la libertad personal (art. 17.1 CE) de los demandantes de amparo por haberse acordado, reformando una previa situación personal de libertad, su prisión provisional incondicional por apreciarse un elevado e inminente riesgo de fuga conjuntamente con la notificación de la sentencia condenatoria de instancia a una pena de seis años de prisión, pero sin convocar la comparecencia prevista en el artículo 505 de la Ley de enjuiciamiento criminal (LECrim) dentro del plazo de las 72 horas siguientes desde que se dictara el auto decretando la medida cautelar, exigida por el artículo 539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las respectivas demandas de amparo pone de manifiesto que la invocación que se hace del artículo 17.1 CE se limita a combatir la citada decisión judicial de no convocar la comparecencia establecida en el artículo 505 LECrim antes del transcurso de las 72 horas desde que se acordó la prisión provisional de los recurrentes, que consideran que forma parte de las garantías procedimentales del derecho a la libertad al estar expresamente previsto en el párrafo cuarto del artículo 539 LECrim. Por el contrario, ningún reproche constitucional se hace a la inicial decisión judicial de acordar la prisión provisional incondicionada comunicada por concurrir un inminente riesgo de fuga. En ese sentido, la impugnación del Auto de 6 de mayo de 2015, en que se acordó la prisión provisional de los recurrentes por el inminente riesgo de fuga, lo es en la medida en que de manera inescindible con dicha decisión no se convocó la comparecencia establecida en el artículo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el Ministerio Fiscal también considera que una eventual estimación de los presentes recursos de amparo debería conllevar la nulidad de los Autos de 21 de mayo de 2015 por los que se acuerda el mantenimiento de la situación de privación de libertad de cada uno de los recurrentes hasta el máximo de la mitad de la pena impuesta, esa decisión judicial debe quedar al margen de nuestro pronunciamiento, ya que (i) no ha sido controvertida por los demandantes ni formal ni materialmente y (ii) en cualquier caso, en atención a que ya ha recaído sentencia firme en este procedimiento quedando sin objeto cualquier tipo de medida cautelar, no resulta necesaria para un eventual restablecimiento en la integridad del derecho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presentes recursos de amparo han sido admitidos a trámite apreciando que concurre en los mismos una especial trascendencia constitucional [artículo 50.1 de la Ley Orgánica del Tribunal Constitucional (LOTC)] porque, tal como ha sido alegado y justificado por los recurrentes en sus demandas, plantean un problema o afectan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acertadamente que no puede considerarse que exista una jurisprudencia constitucional consolidada sobre la cuestión planteada en este recurso, referida a la eventual necesidad de que una reforma peyorativa en la situación personal de un sometido a un proceso penal mediante la adopción urgente de medidas cautelares que impliquen una mayor restricción, limitación o privación del derecho a la libertad vaya acompañada de la obligación de la convocatoria de una comparecencia en el plazo de 72 horas posterior a dicha decisión. En efecto, la STC 62/1996, de 15 de abril, analizó una cuestión fáctica semejante, pero entonces la única cuestión controvertida fue la motivación judicial respecto de la concurrencia de los fines legitimadores de la medida y, en ningún caso, la eventual infracción de las garantías procesales en su adopción. Por su parte, las SSTC 198/1997, de 2 de junio, 22/2004, de 23 de febrero, y 50/2009, de 23 de febrero, fueron pronunciadas en un contexto normativo semejante al actual en que tras la reforma operada en el artículo 539 LECrim por la Ley Orgánica 5/1995, de 22 de mayo, ya resultaba necesario, durante todo el curso de la causa que en las decisiones cautelares de modificación peyorativa de la situación personal de un sometido a procedimiento penal se convocara una audiencia previa, o inmediatamente posterior a su adopción y solo pudieran acordarse o mantenerse a instancia del Ministerio Fiscal o de alguna de las partes acusadoras. Ahora bien, de nuevo el contexto fáctico no resulta coincidente con el concurrente en el presente recurso de amparo —decisión judicial en que tras la condena en primera instancia se acuerda la prisión provisional de quien está en libertad—, en tanto que los recurrentes en aquellos recursos de amparo al dictarse la sentencia condenatoria en primera instancia estaban ya en situación de prisión preventiva cuando se adoptó la decisión de ratificación de esa medida, en el caso de la STC 198/1997, o de su mantenimiento con prórroga de hasta la mitad de la pena impuesta, en el caso de las SSTC 11/2004 y 50/2009.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artículo 17.1 CE tras proclamar que toda persona tiene derecho a la libertad y seguridad personal, establece que “nadie puede ser privado de su libertad, sino con la observancia de lo establecido en este artículo y en los casos y en la forma previstos en la ley”. De ese modo, la jurisprudencia constitucional, en el específico marco de la medida cautelar de prisión provisional, ha establecido que la exigencia general de habilitación legal supone que la decisión judicial de decretar, mantener o prorrogar la prisión provisional ha de estar prevista en uno de los supuestos legales (uno de los “casos” a que se refiere el art. 17.1 CE) y que ha de adoptarse mediante el procedimiento legalmente regulado (en la “forma” mencionada en el mismo precepto constitucional). De ahí que se haya reiterado que el derecho a la libertad personal puede verse lesionado tanto cuando se actúa bajo la cobertura improcedente de la ley como contra lo que la ley dispone (así, SSTC 305/2000, de 11 de diciembre, FJ 3; 210/2013, de 16 de diciembre, FJ 2, y 217/2015,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por lo que se refiere a la existencia de una audiencia previa -o inmediata posterior en caso de urgencia- en la que se sustancie la pretensión de las acusaciones de que se adopten o agraven las medidas cautelares privativas de libertad, la jurisprudencia constitucional considera que (i) si esa audiencia está expresa y claramente prevista en la ley para la adopción de la decisión controvertida, es un requisito procedimental que queda integrado en la exigencia del artículo 17.1 CE de que nadie pude ser privado de libertad sino en la “forma prevista en la ley”, por lo que su omisión constituye una vulneración del artículo 17.1 CE; y (ii) si esa audiencia no está expresa y claramente prevista en la ley para la adopción de la decisión controvertida, entonces el presupuesto previo de determinar que esa audiencia es un requisito legal supone un juicio de legalidad ordinaria para los órganos judiciales competentes en el ejercicio de la función jurisdiccional que les encomienda el artículo 117.3 CE respecto del que el control de constitucionalidad queda limitado a una supervisión externa de la razonabilidad de la fundamentación de las resoluciones judiciales recurridas desde la perspectiva del derecho a la libertad (SSTC 198/1997, de 2 de junio, FJ 2; 22/2004, de 23 de febrero, FJ 3, y 50/2009, de 23 de febrero, FJ 3). Por su parte, en cuanto al control de la razonabilidad de la fundamentación, también es reconocido por la jurisprudencia constitucional el carácter excepcional inherente a la prisión provisional, por oposición a la libertad como regla general, lo que comporta la primacía del favor libertatis o in dubio pro libertate, formulaciones que vienen a significar que la interpretación y la aplicación de las normas reguladoras de la prisión provisional deben hacerse con carácter restrictivo y a favor del derecho fundamental a la libertad que tales normas restringen, lo cual ha de conducir a la elección y aplicación, en caso de duda, de la norma menos restrictiva de la libertad (STC 217/2015,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negado que esa audiencia sea una exigencia directamente derivada del artículo 17.1 CE en los casos de decisiones de confirmación o prórroga de una prisión preventiva que ya se estaba cumpliendo. Así, la STC 198/1997 afirma que “tampoco cabe entender que estemos en este concreto supuesto (comparecencia del imputado previa a la decisión sobre la continuación de la prisión provisional en la tramitación del recurso de casación) ante una garantía directamente exigida por la Constitución, es decir, ante una garantía que, aun no estando expresamente contemplada en la ley, debiera estarlo o debiera integrar necesariamente su interpretación” (FJ 2). Del mismo modo, la STC 22/2004 reitera que “reconociendo que la audiencia no es irrelevante para la adopción de la medida, ‘dado que en dicha audiencia es posible debatir tanto la concurrencia o no de las circunstancias determinantes para acordar la libertad o la continuación de la prisión provisional como la eventual modificación de las inicialmente apreciadas’ (STC 28/2001, de 29 de enero, FJ 6), también hemos declarado que la comparecencia previa no constituye una garantía directamente exigida por la Constitución, pues en ocasiones la comparecencia puede resultar no solo ‘innecesaria, sino dilatoria y perturbadora para la correcta tramitación del procedimiento’ (STC 198/1997, de 2 de junio, FJ 2)” (FJ 3); o la STC 50/2009 que “sin olvidar en todo caso que tal garantía ‘no figura en la Ley de enjuiciamiento criminal ni, por lo demás, parece directamente exigible ex Constitutione para este tipo de supuestos’ (STC 198/1997, de 2 de junio, FJ 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insistiendo en el marco fáctico tan singular que se planteaba en las citadas SSTC 198/1997, 22/2004 y 50/2009, en que no se está propiamente ante una decisión judicial en que se pase de una situación de libertad a otra de privación de este derecho, es preciso poner de manifiesto que, de acuerdo con una muy antigua y reiterada jurisprudencia del Tribunal Europeo de Derechos Humanos en relación con la exigencia de la intervención judicial en las decisiones cautelares privativas de libertad, es necesaria la celebración de una audiencia del afectado ante el órgano judicial cuando se trata de medidas que afectan al derecho a la libertad vinculadas a la comisión de una infracción penal (SSTEDH de 4 de diciembre de 1979, asunto Schiesser c. Suiza, § 31; de 21 de octubre de 1985, asunto Sanchez-Reisse c. Suiza, § 51; de 13 de julio de 1995, asunto Kampanis c. Grecia, § 47; de 28 de octubre de 1998, asunto Assenov y otros c. Bulgaria, § 162; de 25 de marzo de 1999, asunto Nikolova c. Bulgaria, § 58; de 11 de julio de 2000, asunto Trzaska c. Polonia, § 74; de 10 de octubre de 2000, asunto Graužinis c. Lituania, § 31; de 12 de enero de 2012, asunto Korneykova c. Ucrania, § 69; de 16 de enero de 2018, asunto Adem Serkan Gündoğdu c. Turquía, § 38). Así, la STEDH de 9 de noviembre de 2010, asunto Farhad Aliyev c. Azerbaijan, § 203, recuerda que si bien ese procedimiento no siempre debe ir acompañado por garantías idénticas a las que prescribe el artículo 6.1 del Convenio europeo de derechos humanos para los procesos civiles o penales —derecho a un juicio equitativo—, también lo es que es preciso que revista un carácter judicial y ofrezca garantías apropiadas al tipo de privación de libertad en cuestión, de tal modo que (i) el procedimiento debe ser contradictorio, garantizándose la igualdad de armas entre las partes; (ii) en caso de personas cuya detención se produce vinculada a la comisión de una infracción penal, se impone la celebración de una audiencia y (iii) la posibilidad del detenido de ser oído en persona o a través de algún tipo de representación constituye una garantía fundamental de los procedimientos en que se decide sobre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en relación con esta última exigencia de que el afectado pueda dirigirse personalmente al órgano judicial en la audiencia, y con los antecedentes de las SSTEDH de 1 de junio de 2006, asunto. Mamedova c. Rusia, §§ 91-92; o de 21 de diciembre de 2010, asunto Michalko c. Eslovaquia, §§ 159-161; la STEDH de 12 de enero de 2012, asunto Korneykova c. Ucrania, incide en que el derecho del afectado a participar en la audiencia en la que se discute su internamiento es particularmente exigible “cuando es necesario debatir sobre nuevos argumentos para decidir sobre su libertad o cuando los argumentos están estrechamente relacionados con el carácter y la situación personal del solicitante” (§ 69). Por otra parte, en relación con los concretos supuestos, como sucede en el presente caso, en que la privación de libertad se produce como consecuencia de una condena en primera instancia, la jurisprudencia del Tribunal Europeo de Derechos Humanos también ha mantenido que son aplicables esas garantías siempre y cuando la ley nacional establezca que esa situación de privación de libertad constituya una prisión preventiva mientras se desarrolla la revisión en segunda instancia y hasta la existencia de una condena firme (así, SSTEDH de 7 de septiembre de 2017, asunto Stollenwerk c. Alemania,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se ha expuesto más detalladamente en los antecedentes, han quedado acreditados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órgano judicial, mediante sendos autos de 6 de mayo de 2015, adoptó la decisión de modificar la previa situación de libertad que tenían los recurrentes por la de prisión provisional incondicional de manera simultánea al dictado de la sentencia condenatoria en primera instancia al considerar que concurría un elevado e inminente riesgo de fuga, invocando para ello el artículo 539 LECrim con el argumento de que este precepto establece “que los autos de prisión y libertad provisionales son reformables durante el curso de la causa, añadiendo que, si a juicio del juez, hubiere riesgo de fuga de quien se encontrare en libertad procederá a dictar auto de reforma de la medida cautelar”. No convocó, sin embargo, la comparecencia prevista en el artículo 505 LECrim para su celebración en el plazo de 72 horas desde la adopción de esta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órgano judicial, mediante sendos autos de 13 de mayo de 2015, denegó la petición efectuada por los demandantes de amparo para la celebración de dicha comparecencia, argumentando que “la comparecencia prevista en el artículo 505 de la Ley de Enjuiciamiento Criminal, como trámite previo a acordar la prisión provisional de un individuo no resulta aplicable a los supuestos de condena impuesta en Sentencia, pues ésta constituye ‘título ejecutivo’ que habilita al Tribunal sentenciador a acordar su inmediata efectividad cuando se detecte un elevado riesgo de fuga”.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órgano judicial, mediante sendos autos de 5 de junio de 2015 rechazó los recursos de súplica interpuestos por los demandantes, argumentando “que la Ley de Enjuiciamiento Criminal, no establece la necesidad de comparecencia, similar a la establecida en el art. 505 LECrim para decretar la prisión provisional, en el caso de cumplimiento de condena impuesta por sentencia, como ocurre en el presente caso. En este caso no se trata de un detenido que comparece ante esta Sección, sino de un procesado que tras el acto de la vista y habiendo sido valoradas las pruebas practicadas en la misma, ha sido declarado culpable. Existe por tanto un ‘título ejecutivo’ que habilita a la Sala a acordar el inmediato cumplimiento de la condena si concurre, como es el caso, un peligro de sustracción a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“casos” y la “forma” en que la ley española regulaba en el momento en que se dictaron las resoluciones impugnadas la reforma peyorativa de la situación personal de quien está sometido a procedimiento mediante la adopción de una medida cautelar privativa de libertad aparecen establecidos en el artículo 539 LECrim, en la redacción dada a sus dos primeros párrafos y el quinto, por la ya citada Ley Orgánica 5/1995 y, en sus párrafos tercero y cuarto, por la Ley Orgánica 13/2003, de 24 de octubre. En concreto, el mencionado precepto establecía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autos de prisión y libertad provisionales y de fianza serán reformables durante todo el curso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consecuencia, el imputado podrá ser preso y puesto en libertad cuantas veces sea procedente, y la fianza podrá ser modificada en lo que resulte necesario para asegurar las consecuencias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acordar la prisión o la libertad provisional con fianza de quien estuviere en libertad o agravar las condiciones de la libertad provisional ya acordada sustituyéndola por la de prisión o libertad provisional con fianza, se requerirá solicitud del Ministerio Fiscal o de alguna parte acusadora, resolviéndose previa celebración de la comparecencia a que se refiere el artículo 505.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si a juicio del juez o tribunal concurrieren los presupuestos del artículo 503, procederá a dictar auto de reforma de la medida cautelar, o incluso de prisión, si el imputado se encontrase en libertad, pero debiendo convocar, para dentro de las 72 horas siguientes, a la indicada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Siempre que el Juez o Tribunal entienda que procede la libertad o la modificación de la libertad provisional en términos más favorables al sometido a la medida, podrá acordarla, en cualquier momento, de oficio y sin someterse a la petición de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este precepto implica (i) desde la perspectiva sustantiva, una habilitación legal para reformar, incluso de manera peyorativa, la situación personal de un sometido a procedimiento penal durante todo el curso de la causa en el sentido de “acordar la prisión o la libertad provisional con fianza de quien estuviere en libertad o agravar las condiciones de la libertad provisional ya acordada sustituyéndola por la de prisión o libertad provisional con fianza” y (ii) desde la perspectiva formal o procedimental, que esa decisión peyorativa requiere (a) o bien “solicitud del Ministerio Fiscal o de alguna parte acusadora, resolviéndose previa celebración de la comparecencia a que se refiere el artículo 505”, (b) o bien “si a juicio del juez o tribunal concurrieren los presupuestos del artículo 503, procederá a dictar auto de reforma de la medida cautelar, o incluso de prisión, si el investigado o encausado se encontrase en libertad, pero debiendo convocar, para dentro de las 72 horas siguientes, a la indicada comparecencia”. En conclusión, las garantías procedimentales con que la ley, en desarrollo de lo previsto en el artículo 17.1 CE, ha revestido a la decisión judicial urgente del dictado del auto de reforma de la medida cautelar, o incluso de prisión, si el imputado se encontrase en libertad es la de convocar, para dentro de las 72 horas siguientes, la comparecencia del artículo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artículo 861 bis.a) LECrim establece que “[l]as sentencias contra las cuales pueda interponerse recurso de casación no se ejecutarán hasta que transcurra el término señalado para prepararlo” y si se prepara este se “acordará en la misma resolución que continúe o se modifique la situación del reo o reos”; añadiendo el artículo 861 bis.b) LECrim, que “[c]uando el recurso hubiere sido preparado por uno de los procesados, podrá llevarse a efecto la sentencia desde luego en cuanto a los demás, sin perjuicio de lo dispuesto en el artículo 903”. Ello pone de manifiesto que en nuestra sistema de justicia penal la condena en primera instancia no permite todavía la ejecución de las penas impuestas, sin perjuicio de que puedan adoptarse las medidas cautelares de naturaleza personal que se consideren convenientes para no frustrar una eventual ejecución futura. Esta conclusión, por otra parte, es plenamente coherente con la jurisprudencia de este Tribunal en que se ha establecido que (i) la jurisprudencia constitucional no legitima el automatismo de la adopción de la decisión de prórroga de una prisión provisional por la mera condena en primera instancia, sino que es preciso que se justifique seguir sacrificando el derecho fundamental a la libertad personal del condenado en primera instancia vinculada a la consecución de alguno de los fines legítimos asignados a la prisión provisional, algunos de los cuales en el caso concreto posiblemente ya no concurran (como el peligro de desaparición de pruebas o la obstaculización de la investigación), aunque otros puedan continuar, como el del riesgo de fuga; y (ii), en relación con esa condena en primera instancia, “la sentencia condenatoria constituye todo lo más una confirmación temporal de los indicios de culpabilidad apreciados ab initio, pero resulta todavía inhábil para enervar la presunción de inocencia del acusado, a la espera del desenlace del recurso de casación interpuesto por él” (STC 50/2009, de 23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lo expuesto, debe concluirse, de acuerdo con lo que también interesa el Ministerio Fiscal, que la decisión judicial impugnada de considerar innecesaria la celebración sobrevenida de una audiencia con el objeto de poder someter a debate la concurrencia de los presupuestos necesarios para acordar la medida de prisión provisional revirtiendo la situación de libertad de la que gozaban hasta el momento de su condena los recurrentes ha vulnerado su derecho a la libertad personal (artículo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 independencia de lo que se dirá después respecto de la previsión legal de la celebración de una audiencia en supuestos como los que se planteaban en estos recursos de amparo acumulados, la vulneración del artículo 17.1 CE se deriva de que, en atención a que los recurrentes estaban en una situación de libertad personal solo restringida por la obligación de comparecencias periódicas ante la autoridad judicial cuando se acordó su prisión preventiva, esta privación de libertad, aunque se decida a continuación de una condena en primera instancia, no puede adoptarse sin la celebración de una audiencia por parte del órgano judicial decisor en que puedan sustanciarse y debatirse la concurrencia de los presupuestos y requisitos necesarios que la legitiman y que, como ya se ha expuesto, no se derivan de manera automática de la mera condena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sin perjuicio de lo anterior, además, tal como expone el Ministerio Fiscal en este recurso de amparo, el artículo 539, párrafo cuarto, LECrim establece una regulación general sobre el procedimiento a seguir en los supuestos, como el presente, en que por razones de urgencia se decide modificar una situación de libertad acordando la prisión provisional, en que se obliga a convocar la comparecencia regulada en el artículo 505 LECrim dentro de las 72 horas siguientes a las que se acuerde la prisión provisional por motivos de urgencia. Por tanto, en la medida en que es un mandato que está expresa y claramente previsto en la ley, también desde esta perspectiva su omisión implica una vulneración del artículo 17.1 CE por haberse decidido una privación del derecho a la libertad personal fuera de la cobertura legal en cuanto a la forma en que debería haberse decidido. A esos efectos es de destacar que, a diferencia de lo sucedido en las SSTC 198/1997, 22/2004 y 50/2009, el órgano judicial, a pesar de haber hecho expreso que la decisión de prisión provisional se adoptaba al amparo del artículo 539 LECrim, tampoco ha razonado la existencia de eventuales dudas interpretativas que justificaran excepcionar en este caso la aplicación del artículo 539, párrafo cuarto, LECrim, prescindiendo, en atención al momento procesal en que se adoptaba esa decisión u otras circunstancias concurrentes en el caso, de una audiencia subsiguiente en el plazo máximo de 72 horas. Se ha limitado a insistir en razonar sobre la concurrencia de uno de los supuestos en que queda legitimada la adopción de una medida cautelar —la existencia de riesgo de fuga derivada del dictado de la sentencia condenatoria de primera instancia—, pero sin motivar cómo ello redundaba en excepcionar que esa decisión debía de tomarse en la forma prevista en el mismo precepto legal que invoca como soporte de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cualquier caso, el insistente argumento utilizado en las resoluciones judiciales impugnadas de que la sentencia de primera instancia constituye un título ejecutivo que habilita al Tribunal sentenciador a acordar su inmediata efectividad cuando se detecte un elevado riesgo de fuga como argumento para justificar no convocar una audiencia para someter a contradicción la concurrencia de los supuestos legitimadores de la medida, como ya se ha expuesto, resulta contrario (i) a la propia previsión legal española que determina que la ejecutividad de una condena penal queda necesariamente vinculada a su firmeza [arts. 861 bis.a) y b) LECrim] y (ii) a la jurisprudencia constitucional que, en interpretación del artículo 17.1 CE, ha establecido que la sentencia condenatoria solo constituye una confirmación temporal de los indicios de culpabilidad apreciados ab initio que resulta todavía inhábil para enervar la presunción de inocencia del acusado y que no es base suficiente para adoptar ninguna decisión sobre reformas peyorativas de la situación personal de los afectados que siguen vinculada única y exclusivamente a la consecución de alguno de los fines legítimos asignados a la prisión provisional (STC 50/2009, de 23 de febrero, FJ 5). En ese contexto en que el automatismo de la existencia de la condena en primera instancia está constitucionalmente vedado y que lo único que justificaría, en su caso, es la urgencia en la adopción de la decisión, no se compadece con las exigencias del artículo 17.1 CE que, tras adoptarse con carácter urgente la prisión y provisional y llevarse a efecto, se optara por una interpretación de la legalidad que llevara a negar a los recurrentes el derecho a debatir contradictoriamente con las partes acusadoras en una audiencia pública la concurrencia de alguno de los fines legítimos asignados a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amparo por la vulneración del derecho a la libertad (art. 17.1 CE) de los recurrentes determina la nulidad de los Autos de la Sección Cuarta de la Sala de lo Penal de la Audiencia Nacional de 6 de mayo, 13 de mayo y 5 de junio de 2015, dictados en las respectivas piezas separadas de situación personal en el rollo de sala núm. 1-2012, sin que, en atención a la actual inexistencia de ningún tipo de limitación, restricción o privación de su derecho a la libertad con fundamento en la adopción de medidas cautelares en esta causa penal, resulte necesario ni posible adoptar por este Tribunal cualquier otro tipo de decisión para el íntegro restablecimiento del derecho vulnerado, por lo que el pronunciamiento tiene un carácter declarativo.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recursos de amparo interpuestos por doña Marina Sagastizabal Emilio-Yus, don Xabat Morán Ruiz, don Bergoi Madernaz del Pozo y doña Ainhoa Villaverde Barrutiabengoa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demandantes de amparo a la libertad personal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en consecuencia, declarar la nulidad de los Autos de la Sección Cuarta de la Sala de lo Penal de la Audiencia Nacional de 6 de mayo de 2015, 13 de mayo de 2015 y 5 de junio de 2015, dictados en las respectivas piezas separadas de situación personal de cada uno de los demandantes de amparo en el rollo de sala núm. 1-2012.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