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2424-2018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mayo de 2018 se registró en este Tribunal el Auto de 27 de marzo de 2018 de la Sección Segunda de la Sala de lo Contencioso-Administrativo del Tribunal Superior de Justicia de Canarias, por el que se plantea cuestión de inconstitucionalidad en relación con el artículo 21.2 de la Ley 4/1999, de 15 de marzo, de patrimonio histórico de Canarias respecto del artículo 149.1.18 CE, por infracción “de la normativa básica estatal relativa al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artículo21.2 de la Ley 4/1999, refiriéndose a los expedientes de declaración de bienes de interés cultural, tiene el contenido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expedientes se tramitarán dentro de un plazo de doce meses desde su incoación.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 En otro caso, el expediente de declaración quedará caducado y sin efecto, no pudiendo volver a incoarse hasta después de tres años, salvo cuando medie instancia del propio titular del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11 de diciembre de 2014 se publicó en el “Boletín Oficial de Canarias”, el Decreto 111/2014, de 28 de noviembre, por el que se modificó la delimitación del bien de interés cultural, con categoría de conjunto histórico, “Barrio de los Hoteles Pino de Oro”, en el término municipal de Santa Cruz de Tenerife, Isla de Tenerife.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entidad mercantil Julitex, S.L., interpuso recurso contencioso-administrativo (procedimiento ordinario 14-2015) ante el Tribunal Superior de Justicia de Canarias, contra el citado Decreto 111/2014. En el suplico de la demanda, se instaba la declaración de nulidad del Decreto, preferentemente, por caducidad del procedimiento para su aprobación. El primer fundamento jurídico de la misma razonaba sobre dicha caducidad, exponiendo que el procedimiento se incoó el 25 de marzo de 2013 por lo que, al aprobarse el Decreto impugnado que lo concluyó, habían trascurrido veintitrés meses y, por tanto, se había superado con creces el plazo de doce meses establecido en el artículo 21.2 de la Ley 4/1999 que se transcribía. Aunque dicho precepto exige la denuncia de mora para que pueda tener lugar la caducidad, la demanda argumentaba sobre la contradicción de dicho requisito con la normativa básica sobre procedimiento administrativo común, dictada por el Estado al amparo del artículo 149.1.18 CE, contenida en el artículo 44 de la entonces vigente Ley 30/1992, de 26 de noviembre, de régimen jurídico de las Administraciones públicas y del procedimiento administrativo común (LPC), que establece la caducidad automática del procedimiento, transcurrido el plazo sin previa denuncia de mora. La demanda invocaba también sentencias del Tribunal Superior de Justicia de Canarias y del Tribunal Supremo en ese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Letrada de la Comunidad Autónoma de Canarias, en la contestación a la demanda, solicitó la inadmisión del recurso por la causa del artículo 69 b) de la Ley 29/1998, de la jurisdicción contencioso-administrativa (LJCA), en relación con el artículo 57.2 LJCA, por falta de capacidad procesal, al no haber aportado la entidad demandante el preceptivo acuerdo para litigar adoptado por órgano competente. Subsidiariamente, solicitaba la demandada la desestimación del recurso por razones de fondo. En cuanto a la caducidad del procedimiento, se negaba esgrimiendo que el artículo 21.2 de la Ley 4/1999, que establece el mecanismo de denuncia de mora en los procedimientos de los bienes de interés cultural, no ha sido impugnado, por lo que está vigente. Además, la caducidad de estos procedimientos, según el mismo artículo 21.2, impide volver a incoar el expediente de declaración de bienes de interés cultural hasta que hayan transcurrido tres años, con lo que sus efectos son más restrictivos que los de la Ley 30/1992.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vez concluso el período de prueba, en el trámite de conclusiones, Julitex afirmó, con referencia a los documentos aportados con la demanda, haber acreditado su capacidad procesal e insistió en la caducidad del procedimiento. La representante autonómica, por su parte, dio por reproducidas en sus conclusiones, las alegaciones de su contestación.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Conclusos los autos y señalada fecha para votación y fallo, la Sección Segunda de la Sala de lo Contencioso-Administrativo del Tribunal Superior de Justicia de Canarias acordó oír a las partes y al Ministerio Fiscal sobre la procedencia de plantear cuestión de inconstitucionalidad en relación con “el art. 21.1 de la Ley 4/1999, de 15 de marzo, de patrimonio histórico de Canarias, en cuanto establece un régimen de denuncia de mora previo a la caducidad del expediente por transcurso del plazo de doce meses establecido para su tramitación”. La providencia seguía refiriéndose a una Sentencia del Tribunal Supremo, de 6 de noviembre de 2012 que, “a raíz de la modificación de la Ley 4/1999, de 13 de enero… declara que el régimen de denuncia de mora establecido en la ley catalana de Patrimonio Histórico contraviene la legislación básica”. La providencia aludía también a la reciente doctrina constitucional sobre el principio de prevalencia y afirmaba que, en el caso, “es ineludible el planteamiento de la misma [la cuestión] toda vez que la ley canaria es posterior a la modificación de la Ley 30/1992 por la Ley 4/1999,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Julitex, formuló alegaciones, por escrito de 22 de mayo de 2017, en el sentido de oponerse al planteamiento de la cuestión invocando la doctrina constitucional sobre el principio de prevalencia (STC 116/2016). Siendo evidente, según esta parte, la contradicción entre la norma canaria y el artículo 44 LPC que, en la redacción de la Ley 4/1999, de 13 de enero, no contempla la denuncia de mora, lo que el órgano judicial debió hacer es inaplicar la Ley autonómica. Ello, como solución lógica ante una situación provocada por la propia Comunidad Autónoma, que ha incumplido su deber de inmediata acomodación a la nueva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Comunidad Autónoma de Canarias se opuso igualmente al planteamiento de la cuestión, si bien dejando antes constancia de la falta de indicación, en la providencia de la Sala, del precepto o preceptos constitucionales considerados posiblemente quebrantados. No obstante, ad cautelam, daba por reproducidos los argumentos de la contestación a la demanda sobre los efectos legales de la caducidad en estos expedientes y afirmaba que el planteamiento de la cuestión solo sería procedente si, por vía interpretativa, no fuera posible la acomodación de la norma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Fiscal, interpuso inicialmente recurso de súplica frente a la providencia que daba alegaciones a las partes sobre la procedencia de plantear la cuestión, al omitirse en ella “de modo absoluto cualquier referencia a norma constitucional alguna que pueda verse conculcada por la norma legal expresamente cuestionada”. Dicho recurso fue desestimado por la Sala, “sin perjuicio de aclarar que el precepto infringido es el artículo 149.1 regla 18ª de la Constitución Española”. Tras nuevo recurso del Ministerio público porque no se le daba ocasión de formular alegaciones, se le dio nuevo trámite que, a su instancia, se hizo extensivo a las demás partes. Finalmente, el Fiscal se pronunció en el sentido de considerar pertinente la cuestión por entender cumplidos los requisitos procedimentales, sin pronunciarse sobre el fondo. Ante la nueva audiencia, la recurrente y la Comunidad Autónoma reprodujeron en esencia sus alegaciones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contenido del Auto, de 27 de marzo de 2018, de planteamiento de la cuestión de inconstitucionalidad,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Antecedentes de Hecho expone que, considerada por la Sala la posible inconstitucionalidad del artículo 21.1 (sic) de la Ley 4/1999, de 15 de marzo, de Patrimonio Histórico de Canarias “respecto del artículo 149.1 regla 18 de la Constitución española, al infringirse normativa básica estatal relativa al Procedimiento Administrativo Común”, se dio traslado a las partes y Ministerio Fiscal, quienes formularon sus correspondientes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Primero, tras afirmar que la cuestión de inconstitucionalidad se contempla en el artículo 163 CE y se desarrolla en los artículos 35 a 37 de la Ley Orgánica del Tribunal Constitucional (LOTC), expone que: “en el presente litigio resulta de necesaria aplicación el artículo 21 de la Ley 4/1999, de 15 de marzo, de Patrimonio Histórico de Canarias; de cuya validez dependerá el resultado del litigio, suscitando dudas su constitucionalidad, en cuanto establece un régimen de denuncia de la mora previo a la caducidad del expediente por transcurso del plazo de 12 meses establecido para su tramitación”. Sigue, citando la STS, de 6 de noviembre de 2012, relativa a la Ley catalana de patrimonio histórico, en la que, dice: “se sigue un nuevo criterio en relación con la compatibilidad de un régimen de denuncia de la mora con la legislación básica sobre caducidad de los expedientes administrativos a raíz de la modificación de la Ley 4/1999,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de Derecho segundo del Auto de planteamiento de la cuestión afirma que, “aun considerando la más reciente doctrina del Tribunal Constitucional sobre el principio de prevalencia y la necesidad del planteamiento de cuestiones de inconstitucionalidad para el desplazamiento de la norma autonómica (STC 204/2016, de 1 de diciembre), es ineludible el planteamiento de la misma, toda vez que la Ley canaria es posterior a la modificación de la Ley 30/1992 por la Ley 4/1999, de 13 de enero” y añade “[s]e contraviene el artículo 149.1 regla 18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parte dispositiva del Auto acuerda plantear la cuestión de inconstitucionalidad sobre “[e]l artículo 21.1 de la Ley 4/1999, de 15 de marzo, de patrimonio histórico de Canarias respecto del artículo 149.1 regla 18 de la Constitución española, al infringirse normativa básica estatal relativa al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ser elevados por el Tribunal Superior de Justicia de Canarias, Sala de lo Contencioso-Administrativo, testimonio de las actuaciones del procedimiento ordinario 14-2015 y las alegaciones formuladas por las partes y el Ministerio Fiscal en el trámite de audiencia, por providencia de 5 de junio de 2018, la Sección Primera del Tribunal Constitucional acordó oír al Fiscal General del Estado para que, en el plazo de diez días, y a los efectos que determina el artículo 37.1 de la Ley Orgánica del Tribunal Constitucional (LOTC), alegase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17 de septiembre de 2018. En él interesa la inadmisión de la presente cuestión de inconstitucionalidad por no haberse satisfecho suficientemente el juicio de aplicabilidad exigido en 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Ministerio público, tras resumir los antecedentes del caso y aclarar que el objeto de la cuestión es el artículo21.2 de la Ley 4/1999, aunque el Auto de planteamiento se refiera al artículo 21.1, entiende que el trámite de audiencia se practicó correctamente, a pesar de algunos errores y omisiones que considera no fueron relevantes. Afirma, igualmente, que basta el contraste entre la norma autonómica y la estatal básica para apreciar, en este caso, la contradicción, puesto que la norma estatal no exige la denuncia de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Fiscal General del Estado considera que la cuestión debe inadmitirse, en primer lugar porque el artículo 21.2 de la Ley 4/1999 no sería aplicable al litigio ya que, a su juicio, la tramitación del expediente de bien de interés cultural, en el caso de autos, se realizó en un período inferior a los doces meses señalado en el precepto autonómico, por lo que la denuncia de mora sería intrascendente. A este respecto, destaca que el expediente fue incoado por resolución de 25 de marzo de 2013 y, mediante resolución de 13 de enero de 2014, se acordó elevarlo al Gobierno de Canarias para su decisión, siendo luego denunciada la mora el 21 de octubre de 2014 y resuelto finalmente por Decreto impugnado, de fecha 28 de noviembre de 2014. Dice así que “constatado que el expediente se tramitó en plazo no es preciso un pronunciamiento sobre la denuncia de mora”. Por ello, “el juicio de aplicabilidad estaría mal planteado o sería insuficiente pues la decisión del litigio no depende de la validez de la norma que aquí se cuestiona”. A ello añade el Ministerio público que el juicio de aplicabilidad de la norma realizado por el órgano promotor de la cuestión estaría también mal planteado o sería insuficiente porque el recurrente denunció la mora en la vía administrativa en aplicación de la norma autonómica, con lo que la consideró aplicable tácitamente, en contra de lo que luego sostuvo en sede contenciosa. El órgano judicial pudo, por tanto, según el Fiscal, aplicar la doctrina de los actos propios, lo que habría hecho innecesario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Fiscal considera que la cuestión debe inadmitirse porque el órgano que la promueve, aunque se refiere a la sentencia del Tribunal Supremo que consideró desplazado un precepto, muy similar al objeto de esta cuestión, de la Ley 9/1993, de patrimonio cultural catalán, “omite la solución que alcanza el Tribunal Supremo y las razones que llevan a este a entender desplazada la norma autonómica por la norma estatal básica de conformidad con el principio de prevalencia del art. 149.3 CE y no explica por qué, en el caso que se le ha sometido a su consideración, no le es aplicable la misma doctrina jurisprudencial”. Por ello, según el Ministerio público, el Auto somete a consideración del Tribunal Constitucional “una norma autonómica cuya aplicabilidad al litigio es dudosa”, pues “la correcta formulación del juicio de aplicabilidad hubiera exigido una reflexión del Tribunal Superior de Justicia de Canarias” sobre el posible desplazamiento de la norma autonómica.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Canarias plantea cuestión de inconstitucionalidad en relación con el artículo 21.2 de la Ley 4/1999, de 15 de marzo, de patrimonio histórico de Canarias, respecto del artículo 149.1.18 CE, por infracción “de la normativa básica estatal relativa al procedimiento administrativo común”. Aunque el Auto de planteamiento de la cuestión cita el artículo 21.1 de la Ley 4/1999 en lugar del artículo 21.2, es fácilmente constatable que se trata de un mero error material en la identificación del precepto, que resulta salvable a partir del propio Auto, en cuyo fundamento jurídico primero, se describe el contenido de la norma cuestionada que es el del artículo 21.2.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quedado recogido de forma más detallada en los antecedentes, el Tribunal Superior de Justicia de Canarias, promotor de la cuestión, considera que el artículo21.2 de la Ley 4/1999 podría incurrir en inconstitucionalidad mediata, por vulneración de la norma básica estatal contenida en el artículo 44 de la Ley 30/1992, vigente cuando se dictó el Decreto recurrido en el litigio y dictado al amparo del artículo 149.1.18 CE, puesto que el precepto estatal no exigía, como hace la norma canaria, como requisito previo de la caducidad de los expedientes de declaración de bienes de interés cultural, la denuncia de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LOTC, se ha pronunciado en favor de la inadmisión de la presente cuestión de inconstitucionalidad, por no haber satisfecho suficientemente el órgano judicial, en el Auto de planteamiento, el juicio de aplicabilidad exigido en el artículo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artículo 37.1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tales condiciones, es preciso comenzar recordando, como dijimos en la STC 79/2015, de 30 de abril, FJ 3, que “los apartados primero y segundo del artículo 35 LOTC exigen, respectivamente, que la norma con rango de ley de la que tenga dudas un juez o tribunal debe ser ‘aplicable al caso y de cuya validez dependa el fallo’ y que el órgano judicial deberá especificar o justificar en el Auto de planteamiento de la cuestión en qué medida la decisión del proceso depende de la validez de la norma en cuestión. En atención a lo dispuesto, es exigible que la norma cuestionada supere el llamado ‘juicio de relevancia’, que se erige en uno de los requisitos esenciales que impide que la cuestión de inconstitucionalidad pueda resultar desvirtuada por un uso no acomodado a su naturaleza y finalidad; lo que sucedería si se utilizase para obtener pronunciamientos innecesarios o indiferentes para la decisión del proceso en que la cuestión se suscita (por todas, SSTC 42/2013, de 14 de febrero, FJ 2, y 156/2014, de 25 de septiembre, FJ 2). De ahí que este Tribunal haya estimado que deba darse ‘una verdadera dependencia’ (STC 189/1991, de 3 de octubre, FJ 2), o un ‘nexo de subordinación’, entre el fallo del proceso y la validez de la norma cuestionada (STC 157/1990, de 18 de octubre, FJ 1) (STC 156/2014, FJ 2). No basta con que el Tribunal ordinario considere que la norma es aplicable al caso, sino que también ha de satisfacerse el requisito de la relevancia de la cuestión; pues si bien la aplicabilidad de la norma es condición necesaria para que el fallo dependa de su validez, no es, en modo alguno, condición suficiente (SSTC 17/1981, de 1 de junio, FJ 4, y 156/2014,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Ministerio Fiscal considera correctamente cumplimentado el trámite de audiencia a las partes, pero entiende insuficiente el juicio de aplicabilidad y relevancia realizado en el Auto de planteamiento de la cuestión. Este Tribunal comparte dichas conclusiones, si bien por razones no completamente coincidentes con las que aduce el Ministerio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trámite de audiencia, a pesar del error en la identificación del precepto cuestionado y aunque la providencia que lo otorgó no identificó la concreta norma básica de contraste, las partes sí lo hicieron y demostraron en sus alegaciones conocer perfectamente los términos del debate. Por tanto, como concluye el Ministerio público, la finalidad del trámite se cumplió, pues las partes conocieron el planteamiento del juez y pudieron, “atendidas las circunstancias del caso, situarlo en sus exactos términos constitucionales y oponerse a él (SSTC 42/1990, FJ 1, y 120/2000,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los juicios de aplicabilidad y relevancia, el Auto de planteamiento de la presente cuestión, en la forma descrita en los antecedentes, se limita a afirmar, apodícticamente, que la aplicación del artículo 21 de la Ley 4/1999 es necesaria y que de su validez dependerá el resultado del litigio, lo que se enlaza con la dudas que suscita su constitucionalidad en cuanto a la denuncia de mora que exige este artículo para que tenga lugar la caducidad de los expedientes.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parquedad del Auto, se podría deducir del mismo, en principio, siquiera implícitamente (ATC 239/2004, FJ 2), con la flexibilidad que aplicamos en estos casos (ATC 145/2015, FJ 3, con cita del ATC 239/2004 y los allí invocados) y vistos los términos en que se planteó el debate en la instancia y las alegaciones de las partes, la existencia de una argumentación mínima pero suficiente sobre la aplicabilidad al caso del artículo 21.2 de la Ley 4/1999 y su relevancia para resolver el litigio. Frente a las consideraciones del Ministerio público a este respecto, el precepto cuestionado era aplicable al caso y relevante para el fallo, pues la nulidad del Decreto impugnado por la caducidad del procedimiento constituía el petitum principal de la demanda y el expediente de bienes de interés cultural no fue resuelto dentro del plazo de caducidad señalado en la norma. En cuanto al principio de no contravención de los propios actos al que alude la Fiscalía, no consta que este fuese invocado en el litigio. Por otra parte, el órgano judicial sí razona en el Auto de planteamiento, si bien brevemente, sobre la no aplicación al caso del principio de prevalencia, dada la fecha de la ley canaria, lo que es además conforme con la doctrina establecida en las SSTC 102/2016, 116/2016, 127/2016, 204/2016, 1/2017 y 69/2017, de las que resulta la aplicación del principio en los supuestos de inconstitucionalidad sobrevenida de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conclusión inicialmente favorable a la suficiencia del juicio de aplicabilidad y relevancia debe ser modificada, desde el momento en que nada dice el Auto sobre la causa de inadmisibilidad del recurso del artículo 69 b) de la Ley reguladora de la jurisdicción contencioso-administrativa (LJCA), por supuesta falta de capacidad procesal de la demandante, que alegó la Comunidad Autónoma de Canarias en la contestación a la demanda y rechazó la demandante en conclusiones, a pesar de lo cual se mantuvo por la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juicio de relevancia previsto en el artículo 35.2 LOTC ha sido definido por este Tribunal como “el esquema argumental dirigido a probar que el fallo del proceso judicial depende de la validez de la norma cuestionada” (por todos, AATC 93/1999, de 13 de abril, FJ 3, y 21/2001, de 30 de enero, FJ 1). Reiteradamente, hemos declarado (por todas, STC 72/2017, de 5 de junio, FJ 1), que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 sin que este Tribunal pueda “sustituir, rectificar o integrar el criterio de los órganos judiciales proponentes”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la STC 84/2012, FJ 3, exigimos el pronunciamiento del órgano judicial sobre “las cuestiones previas de legalidad procesal” al plantear cuestiones de inconstitucionalidad y rechazamos la validez de “justificaciones implícitas”. Asimismo, en el ATC 14/2018, FJ 4 in fine, hemos declarado que debe inadmitirse la cuestión de inconstitucionalidad cuando, invocada por una de las partes, como cuestión previa, la falta de legitimación del recurrente, “en el Auto de planteamiento se silencia por completo este extremo, que habría sido necesario descartar expresamente, porque si, finalmente, se apreciara en Sentencia esa causa de inadmisión, no tendría ningún sentido que este Tribunal se pronunciara acerca de la posible inconstitucionalidad de la reiterada disposición … que, en definitiva, no resultaría determinante para la resolución del recurso contencioso-administrativo, lo que, de nuevo, nos situaría ante un control puramente abstracto de la norma, impropio de una cuestión”. La conclusión debe ser la misma cuando, cuestionada por la demandada la capacidad procesal del recurrente, por un motivo que, de concurrir, debiera dar lugar a la inadmisión del recurso ex, artículo 69 b) LJCA, nada en absoluto razona el órgano judicial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Apreciando, por las razones expuestas, que en la presente cuestión de inconstitucionalidad no se han satisfecho suficientemente los juicios de aplicabilidad y relevancia de la norma cuestionada ex, artículo 35 LOTC, procede acordar, de conformidad con el artículo 37.1 LOTC, la inadmisión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