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6 de mayo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1373-2018, promovido por la Administración General del Estado, contra la sentencia de la Sección Tercera de la Sala de lo Contencioso-Administrativo del Tribunal Supremo de 7 de diciembre de 2017, recaída en el recurso de casación núm. 122-2016, y el auto de 29 de enero de 2018, que desestimó el incidente de nulidad de actuaciones promovido frente a la anterior. Han intervenido la entidad Asociación de Empresas Eléctricas (ASEME), representada por la procuradora de los tribunales doña Cecilia Díaz-Caneja Rodríguez y defendida por la letrada doña Irene Bartol Mir, la entidad Iberdrola S.A., representada por el procurador de los tribunales don José Luis Martín Jaurebeitia y defendida por el letrado don José Giménez Cervantes, y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marzo de 2018, el abogado del Estado, en representación de la Administración General del Estado,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este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6 de mayo de 2014, la entidad Asociación de Empresas Eléctricas (ASEME), interpuso recurso contencioso-administrativo contra la Orden IET/350/2014, de 7 marzo, por la que se fijan los porcentajes de reparto de las cantidades a financiar relativas al bono social correspondientes a 2014, la cual tiene como base normativa el art 45.4 de la Ley 24/2013, de 26 diciembre, del sector eléctrico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5 de septiembre de 2015 ASEME presentó la demanda del recurso contencioso-administrativo, solicitando (i) que se declarase la ilegalidad y consiguiente inaplicación de la Orden IET/350/2014, de 7 marzo, y del art 45.4 de la LSE, por vulneración de lo dispuesto en el art 3 de la Directiva 2009/72 del Parlamento Europeo y del Consejo, de 13 de julio de 2009, sobre normas comunes para el mercado interior de la electricidad, por considerar que el mecanismo de financiación del bono social que se establece por las normas cuya inaplicabilidad se solicita es discriminatorio y no garantiza a las empresas eléctricas de la Unión Europea el acceso en igualdad de condiciones a los consumidores nacionales; ii) se declarase la ilegalidad y consiguiente anulación de la Orden IET/350/2014, de 7 marzo y del art 45.4 LSE 24/2013, por vulneración de los dispuesto en el art 9.3 y 14 CE, en la medida que el mecanismo de financiación del bono social que establecen esas normas resulta discriminatorio y por ello arbitrario; (iii) se declarase la ilegalidad y consiguiente anulación de la Orden IET/350/2014, de 7 marzo y del art 45.4 LSE 24/2013, por vulneración de los arts. 39 y 41 CE, al no configurarse el bono social como un coste a cargo de los presupuestos generales, siendo una ayuda social que debe recaer en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 citado recurso contencioso-administrativo, registrado con el núm. 181-2014, conoció la Sección Cuarta de la Sala de lo Contencioso-Administrativo de la Audiencia Nacional que, tras la tramitación del procedimiento, dictó sentencia el 2 de diciembre de 2015 desestimando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sentencia dictada por la Sala de lo Contencioso-Administrativo de la Audiencia Nacional, interpuso ASEME recurso de casación, del que, con el núm. 122-2016, conoció la Sección Tercera de la Sala de lo Contencioso-Administrativo del Tribunal Supremo que dictó sentencia el 7 de diciembre de 2017, estimando el recurso de casación y anulando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sentencia, la Sección Tercera de la Sala de lo Contencioso Administrativo del Tribunal Supremo estimó el recurso contencioso-administrativo interpuesto por ASEME y estableció el derecho de la recurrente a ser indemnizada por las cantidades abonadas en concepto de bono social en aplicación de la Orden IET/350/2014, de 7 marzo, que fue dictada en desarrollo del art 45.4 LSE, debiendo serle reintegradas todas las cantidades abonadas en ese concepto y correspondientes a 2014, con los intereses legales desde la fecha del pago hasta su reintegro.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se remite a las sentencias de la misma Sala de 24 de octubre de 2016 (recursos contencioso-administrativos núm. 960-2014 y 961-2014), 25 de octubre de 2016 (recurso núm. 16-2015) y 2 de noviembre de 2016 (recurso núm. 11-2015), en las que se declara inaplicable el régimen de financiación del bono social establecido en el artículo 45.4 de la Ley 24/2013, de 26 de diciembre, por resultar incompatible con la Directiva 2009/72/CE, del Parlamento Europeo y del Consejo, de 13 de julio de 2009, y se declara también inaplicables y nulos los artículos 2 y 3 del Real Decreto 968/2014, de 21 de noviembre, que desarrollan lo dispuesto en el citado artículo 45.4 de la Ley 24/2013, de 26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Tomando como muestra las resoluciones recaídas en el recurso contencioso-administrativo núm. 961-2014 recuerda lo que señala el fundamento jurídico 7 de la sentencia de 24 de octubre de 2016: “La Ley 24/2013 no contiene una relación nominal de las empresas o grupos de empresas que deben asumir la financiación del bono social. Fue la Orden IET/350/2014, de 7 de marzo, por la que se fijan los porcentajes de reparto de las cantidades a financiar relativas al bono social correspondientes a 2014 -Orden dictada en aplicación de lo previsto en el artículo 45.4 de la Ley 24/2013 , pero antes de que se hubiese producido el desarrollo reglamentario de ésta mediante el Real Decreto 968/2014- la que vino a identificar a las entidades concernidas y a fijar los porcentajes de reparto de las cantidades a financiar relativas al bono social correspondiente a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impugnada también se refiere al auto de la Sala de lo contencioso-administrativo del Tribunal Supremo de 18 de septiembre de 2017 (recurso núm. 961-2014), que señala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así señalado en la propia sentencia que la Orden IET/350/2014 fue dictada en aplicación de lo previsto en el artículo 45.4 de la Ley 24/2013, y como sabemos, en el apartado 2 de la parte dispositiva de la sentencia se acuerda ‘2. Declarar inaplicable el régimen de financiación del bono social establecido en el artículo 45.4 de la Ley 24/2013, de 26 de diciembre, por resultar incompatible con la Directiva 2009/72/CE...’. Por tanto, bien podría decirse que la Orden IET/350/2014 tiene el mismo vicio de origen que el Real Decreto 968/2014, de 21 de noviembre, por cuanto ambos traen causa de un precepto legal que ha sido declarado inaplicable por resultar incompatible con la norma comunitaria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Sucede, sin embargo, que la sentencia no declara la nulidad de la Orden IET/350/2014 -no era objeto de impugnación en el proceso ni se formulaba pretensión respecto de ella- y en los apartados 3/ y 4/ del fallo se declaran inaplicables y nulos los artículos 2 y 3 del Real Decreto 968/2014, de 21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pronunciamientos trascritos la sentencia del Tribunal Supremo examinada extrae la siguiente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“Vemos así que el vicio de origen que aqueja a la Orden IET/350/2014 aparece ya señalado de forma anticipada en los autos dictados en ejecución de las sentencias que declaran inaplicable el régimen de financiación del bono social establecido en el artículo 45.4 de la Ley 24/2013 e inaplicables y nulos los artículos 2 y 3 del Real Decreto 968/2014. Y si tales autos no declararon la nulidad de la Orden IET/350/2014 fue, sencillamente, porque la Orden no había sido objeto de impugnación en el proceso ni se había formulado pretensión respecto de ella. Además, en los propios autos quedaba señalado que no debíamos interferir entonces en lo que era objeto de otros litigios, pues la Orden IET/350/2014 había sido objeto de impugnación en diferentes recursos seguidos ante la Sala de lo Contencioso-Administrativo de la Audiencia Nacional y contra las sentencias recaídas en tales procesos se había interpuesto recursos de casación que se encontraban en aquel momento pendientes de resolución (recurso de casación 3127/2015, 3332/2015, 3374/2015, 3864/2015, 3875/2015, 3885/2015, 122/2016, 149/2016 y 714/2016)”.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esta sentencia la abogacía del Estado promovió incidente de nulidad de actuaciones en el que se alegaba vulneración del derecho a la tutela judicial efectiva y al proceso con todas las garantías, en cuanto al no planteamiento de cuestión prejudicial ante el Tribunal de Justicia de la Unión Europea y por no haberse planteado cuestión de inconstitucionalidad, e incongruencia omisiva. La Sección Tercera de la Sala de lo Contencioso del Tribunal Supremo desestimó dicho incidente de nulidad por auto de fecha 29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falta de planteamiento de la cuestión prejudicial, el órgano judicial rechaza que se hayan producido las vulneraciones objeto de denuncia, toda vez que en las sentencias antes citadas de 24 de octubre de 2016 (dos sentencias con esa fecha dictadas en los recursos 960-2014 y 961-2014), 25 de octubre de 2016 (recurso 16-2015) y 2 de noviembre de 2016 (recurso 11-2015), se explicitan las causas por las que no resulta precisa su formulación. En concreto, refiere que “no reiteraremos aquí las razones que dimos entonces, que la Abogacía del Estado conoce, sin duda, pues la Administración fue parte en todos aquellos procesos. Lo que interesa destacar ahora es que si el planteamiento de cuestión prejudicial ante el Tribunal de Justicia de la Unión Europea se consideró innecesario entonces, con mayor razón resultará innecesario el planteamiento de la cuestión prejudicial para declarar la nulidad de una Orden que fue dictada en desarrollo del precepto legal que entonces se declaró inaplicable por ser contrario al ordenamiento comunitario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razones análogas a las señaladas también se descarta la queja por no haberse planteado cuestión de inconstitucionalidad: “Una vez que por sentencia firme había sido declarado inaplicable el artículo 45.4 de la Ley 24/2013, por contravenir el Derecho de la Unión Europea, la constatación de que la Orden IET/350/2014 había sido dictada precisamente en desarrollo de aquel precepto legal llevaba directamente a la conclusión de que dicha Orden debía ser declarada nula, sin que para hacer tal pronunciamiento resultase necesario el previo planteamiento de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desecha la queja de haber incurrido en incongruencia omisiva, pues “si el motivo de nulidad se ciñe a la falta de examen en la sentencia de los argumentos esgrimidos por la Abogacía del Estado en su escrito de oposición del recurso de casación, lo cierto es que la razón dada en la sentencia para declarar nula la Orden IET/350/2014 —esto es, la existencia de pronunciamientos judiciales firmes que declaran inaplicable el precepto legal a que dicha Orden sirve de desarrollo— hacía innecesario el examen de aquellos argumentos de oposición, como innecesario se consideró también el examen de los motivos de casación formulados por la entidad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Administración General del Estado denuncia la vulneración del derecho a la tutela judicial efectiva (art. 24.1 CE) y del derecho a un proceso con todas las garantías (art. 24.2 CE), por cuanto el órgano judicial no planteó cuestión prejudicial ante el Tribunal de Justicia de la Unión Europea, pese haber declarado inaplicable el art. 45.4 LSE por considerarlo incompatible con el art. 3.2 de la Directiva 2009/72/CE.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destacar los aspectos más relevantes del procedimiento judicial, la parte recurrente justifica la especial trascendencia constitucional del recurso por considerar que el Tribunal Constitucional carece de doctrina consolidada respecto del criterio de identidad o evidencia al que los órganos jurisdiccionales deben sujetarse para poder, en aplicación de la jurisprudencia del Tribunal de Justicia de la Unión Europea, exonerarse de plantear cuestión prejudicial, con base en la existencia del “acto claro” o “acto aclarado”, por la similitud que el supuesto presenta con un caso ya resuelto por el Tribunal de Justicia de la Unión Europea, y poder apreciar directamente que una disposición interna con rango de ley es contraria al Derecho europeo. Esa temática ostenta una clara relevancia pues, conforme a la STC 232/2015, dejar de aplicar una ley interna sin previamente plantear cuestión prejudicial ante el Tribunal de Justicia de la Unión Europea, por entender que dicha ley es contraria al Derecho de la Unión Europea, vulnera el derecho a un proceso con todas las garantías, si existe una duda objetiva, clara y terminante sobre esa supuesta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aduce que no corresponde al Tribunal Constitucional controlar la adecuación de la actividad de los poderes públicos nacionales al Derecho de la Unión Europea, pero sí determinar si las resoluciones judiciales impugnadas son contrarias al derecho a la tutela judicial efectiva reconocido en el art. 24 CE. Y, desde esta perspectiva lo verdaderamente primordial consiste en delimitar cuál es el alcance de las facultades que esos órganos ostentan y la amplitud del margen de interpretación del que disponen para inaplicar directamente una norma interna con rango de ley, por considerarla contraria al Derecho europeo, sin plantear previamente cuestión prejudicial ante el Tribunal de Justicia de la Unión Europea. Según el demandante, lo novedoso del caso reside en que, por considerar aplicable al presente supuesto la doctrina del “acto aclarado”, la decisión del órgano judicial ha supuesto el apartamiento de una norma con rango de ley de aplicación al caso, de manera que el citado órgano se ha convertido en un “legislador negativo”, cuyas facultades de valoración resultan sumamente trascendentes desde la perspectiva del derecho garantizado por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la demanda se refiere exclusivamente a las sentencias del Tribunal Supremo a las que se remite la impugnada. En primer lugar, sintetiza las razones dadas por el órgano judicial para considerar inaplicable el modelo de financiación del bono social que prevé el art. 45.4 LSE; a saber, que es incompatible con el régimen jurídico establecido en el art. 3.2 de la Directiva 2009/72/CE, porque este precepto exige que las obligaciones de servicio público se definan claramente, sean transparentes, no discriminatorias y controlables y garanticen el acceso en igualdad de condiciones a los consumidores nacionales y, a su vez, porque el precepto inaplicado vulnera el principio de proporcionalidad, toda vez que la carga de la financiación se impone solamente a determinados agentes del sector eléctrico, de manera indefinida y sin ninguna compensación. La demanda sostiene que la argumentación que ofrece la sentencia impugnada para considerar innecesario el planteamiento de la referida cuestión prejudicial es meramente apodíctica y, por tanto, incurre en manifiesta falta de motivación que lesiona el derecho a la tutela judicial efectiva; y ello, porque el órgano judicial considera que el contenido de la sentencia del Tribunal de Justicia de la Unión Europea de 7 de septiembre de 2016 (asunto Anode), reproducido literalmente en alguno de sus párrafos, es trasladable al caso ahora examinado, pero no dice por qué razón lo es ni expone cuáles son esos criterios que resultan aplicables al presente caso, por lo que no se acierta a ver cuál es la semejanza con los considerandos de la sentencia del Tribunal de Justicia de la Unión Europea traída como parámetro de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afirma que la sentencia recurrida en esta sede aplica la doctrina del “acto aclarado” para justificar la falta de planteamiento de la cuestión prejudicial, pero estima que el criterio seguido es erróneo, pues no concurren las características o circunstancias que, conforme a la jurisprudencia consolidada del Tribunal de Justicia de la Unión Europea, determinan que resulte innecesaria la formulación de la cuestión prejudicial, pues ni puede imponerse con tal evidencia la similitud entre asuntos, de manera que no quepa albergar duda razonable sobre la solución de la cuestión, ni tampoco la cuestión suscitada es materialmente idéntica a otra anterior que hubiera sido objeto de una decisión prejudicial. Para la parte recurrente el Tribunal Supremo sustenta la aplicación al caso de la doctrina del “acto aclarado” en las sentencias recaídas en los asuntos Federutility y Anode que constituyen supuestos análogos que, conforme a la “doctrina Cilfit”, justifican la inaplicación del art. 45.4 LSE. Sin embargo, respecto de la sentencia del Tribunal de Justicia de la Unión Europea de 20 de abril de 2010 —asunto Federutility—, indica que la discriminación a la que se refieren sus parágrafos 45 y 46 nada tiene que ver con el trato peyorativo apuntado por los recurrentes en el caso que nos ocupa; en aquel asunto se planteó la posible discriminación que podría surgir por indiferenciación (que el tribunal remitente debe verificar), al imponer la normativa cuestionada la misma obligación de servicio público (ofrecer el precio de referencia) con independencia de que los suministradores sean o no mayoristas, lo que podría perjudicar a los suministradores de gas al detalle que no son simultáneamente mayoristas y beneficiar a los suministradores que sí reúnen tal condición, ya que estos últimos podrían verse inclinados a abusar de la ventaja que les proporciona la integración vertical, desplazando los menores ingresos del precio de referencia a los suministradores no mayoristas en las negociaciones entre unos y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administración esta cuestión no puede considerarse materialmente idéntica a la que se suscita en el presente caso, pues la supuesta discriminación que aprecia el tribunal a quo no trae causa de la indiferenciación sino de la diferencia de trato que, en perjuicio de determinadas empresas, establece la normativa inaplicada, al hacer recaer la financiación del bono social eléctrico sobre las matrices de determinados grupos empresariales que desarrollan simultáneamente las actividades de generación, distribución y comercialización. No hay, pues, identidad en el tipo de desigualdad ni tampoco en las situaciones y sujetos comparados. En apoyo de su tesis, la demandante cita una sentencia del Pleno de la Sala de lo Contencioso-Administrativo del Tribunal Supremo, concretamente la de fecha de 18 de noviembre de 2013, recaída en el recurso núm. 843-2013, en la que, a propósito del déficit de tarifa, se declaró la inhabilidad sustancial de la sentencia Federutility para ser invocada como supuesto idéntico en relación con la asunción de la financiación de ciertos costes del sector eléctrico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respecto a la segunda de las sentencias traídas a colación por el Tribunal Supremo, esto es, la sentencia del Tribunal de Justicia de la Unión Europea de 7 de septiembre de 2016 —asunto Anode— su doctrina no la considera aplicable al presente caso. Y ello porque, en aquel supuesto, los fines alegados para justificar la medida eran los de garantizar “la seguridad del suministro y la cohesión territorial”, que son distintos de los que se pretenden alcanzar mediante el bono social español, ya que éstos se refieren a la protección de los consumidores vulnerables, aspecto este que es completamente ajeno a la determinación de los componentes del precio del gas en aquel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 expuesto, para la demandante tampoco cabe entender que las consideraciones que se formulan en el parágrafo 71 de la sentencia recaída en el asunto Anode, acerca de la proscripción de discriminación entre compañías de gas, de manera que “el sistema de designación de las empresas encargadas de las obligaciones de servicio público no puede excluir a priori a ninguna de las empresas que operan en el sector de la distribución de gas”, sean extensibles al caso ahora enjuiciado. La obligación de financiar el bono social no se aplica a unos operadores determinados a priori, de forma nominativa y con exclusión de otros, sino que tal obligación se establece cada año, con eficacia temporal limitada y en función de circunstancias objetivamente determinadas, de manera que no hay una predeterminación apriorística del elenco de obligados.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la demanda invoca algunos de los argumentos que figuran en el voto particular formulado por el magistrado disidente a la sentencia de 24 de octubre de 2016, consistentes, en síntesis, en que concurren diferencias sustanciales entre el caso resuelto por el Tribunal de Justicia de la Unión Europea y los presupuestos fácticos y jurídicos examinados en el recurso contencioso-administrativo tramitado por el Tribunal Supremo, por lo que no resulta aplicable la doctrina del “acto aclarado” a fin de eludir el planteamiento de la cuestión prejudicial en el presente caso y se aduce en la demanda que el dictamen de la comisión permanente del Consejo de Estado, de fecha 6 de noviembre de 2014, emitido respecto del inicial proyecto de orden, por la que se desarrollaba la metodología para la fijación de los porcentajes de reparto de las cantidades a financiar, relativas al bono social (que luego se convirtió, precisamente a resultas de las consideraciones sobre su rango realizadas en el citado dictamen, en el Real Decreto 968/2014, de 21 de noviembre), se pronunció en términos contundentes sobre la conformidad de la norma reglamentaria reguladora del bono social con el ordenamiento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para la administración recurrente se ha vulnerado el art. 24 CE porque: i) al resolver el Tribunal Supremo ha desconocido el sistema de fuentes, no aplicando una norma con rango de ley indebidamente, pues previamente debió plantear cuestión prejudicial ante el Tribunal de Justicia de la Unión Europea; ii) incurre en un déficit de motivación, ya que no explica suficientemente las razones por las que considera que concurre la circunstancia del “acto aclarado”, como razón que le excusa de aplicar la norma española sin previamente plantear cuestión prejudicial ante el Tribunal de Justicia y iii) el juez nacional ha resuelto el proceso inmiscuyéndose en un ámbito o competencia jurisdiccional ajeno, dando lugar a que la controversia sea decidida por un juez o tribunal distinto del querido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julio de 2018, la Sección Cuarta de este Tribunal acordó la admisión a trámite de la demanda de amparo presentada, “apreciando que concurre en el mismo una especial trascendencia constitucional (art. 50.1 LOTC) porque el recurso plantea un problema o afecta a una faceta de un derecho fundamental sobre el que no hay doctrina de este Tribunal [STC 155/2009, FJ 2 a)]”. En aplicación de lo dispuesto en el art. 51 de la Ley Orgánica del Tribunal Constitucional (LOTC), se acordó dirigir atenta comunicación a la Sección Tercera de la Sala de lo Contencioso-Administrativo del Tribunal Supremo a fin de que, en plazo que no excediera de diez días, remitiera certificación o fotocopia adverada de las actuaciones correspondientes al recurso de casación núm. 122-2016. Asimismo se acordó dirigir atenta comunicación a la Sección Cuarta de la Sala de lo Contencioso-Administrativo de la Audiencia Nacional, para que en el mismo plazo remitiese certificación o fotocopia adverada de las actuaciones correspondientes al recurso contencioso-administrativo núm. 181-2014 y procediese a emplazar a quienes hubieran sido parte en el procedimiento, a excepción de la parte recurrente en amparo, para que en el plazo de diez días pudiesen comparecer, si lo desean,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requeridas de los órganos judiciales, por diligencia de ordenación de la secretaría de justicia de la Sección Cuarta de este Tribunal de fecha 24 de septiembre de 2018, se acordó tener por personados y partes en el procedimiento al procurador don José Luis Martín Jaureguibeitia, en nombre y representación de Iberdrola, S.A., y a la procuradora doña Cecilia Díaz-Caneja Rodríguez, en nombre y representación de Asociación de Empresas Eléctricas (ASEME), ordenándose entender con ella las sucesivas diligencias, y, con arreglo al art. 52 LOTC, conceder a las partes personadas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22 de octubre de 2018 el ministerio fiscal presentó su escrito de alegaciones en el que termina solicitando que se estime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y resumir las alegaciones formuladas por la parte recurrente, argumenta el fiscal ante el Tribunal Constitucional lo que se sintetiza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Administración General del Estado ostenta legitimación, pues en el recurso de amparo se alega la vulneración de los derechos a la tutela judicial efectiva sin indefensión y al proceso debido, desde la perspectiva de las garantías procesales inherentes a los mismos que le son reconocidas a la administración como parte en los procesos judiciales; esto es “actuando al mismo tiempo un interés general que es el de la integridad del ordenamiento jurídico y de las normas legales que lo componen, dictadas por el Parlamento y que representan la voluntad popular ejercida a través del poder legislativo que la representa” (STC 58/2004,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ministerio fiscal explica el mecanismo del bono social que opera como una medida de protección de los consumidores de energía que son vulnerables, por cumplir determinadas condiciones sociales, de consumo y poder adquisitivo. Ese bono responde a las previsiones de la Directiva 2009/72/CE, en cuya virtud “los Estados miembros adoptarán las medidas oportunas para proteger a los clientes finales y, en particular, garantizarán una protección adecuada de los clientes vulnerables”. Seguidamente, trae a colación los antecedentes legislativos del bono social, comenzando por el Real Decreto-ley 6/2009, de 30 de abril, por el que se adoptaron determinadas medidas en el sector energético y se aprobó el bono social, que, en su preámbulo reflejaba el objeto al que respondía esa medida, y que en el art. 2.5 y la disposición transitoria segunda establecían el régimen de financiación del bono social. Esas disposiciones, recuerda el ministerio público, fueron enjuiciadas en la sentencia de la Sala Tercera del Tribunal Supremo de 7 de febrero de 2012, que consideró que ese régimen de financiación no cumplía las exigencias de transparencia, no discriminación, control y proporcionalidad exigidas por las normas de la Unión Europea; en concreto, por la Directiva 2003/54/CE. Por ello, el Tribunal Supremo resolvió la inaplicación de las disposiciones pertinentes del Real Decreto-ley citado, así como los de la Orden ITC 1723/2009, de desarrollo de aquel, sin plantear cuestión prejudicial ante el Tribunal de Justicia de la Unión Europea, por considerar que el sentido de la Directiva ya había sido aclarado en la sentencia de dicho tribunal europeo de 20 de abril de 2010, dictada en el asunto Federutility. Ello condujo a la Sala Tercera a declarar la inaplicabilidad del régimen de financiación del bono social establecido en las normas españolas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posterior del bono social se prevé en el artículo 45.4 de la Ley 24/2013, de 26 de diciembre, del sector eléctrico, más tarde modificada por el Real Decreto-ley 7/2016. Afirma el ministerio fiscal que esta disposición se corresponde con las previsiones del Real Decreto-ley 6/2009, pues establece que “será asumido por las matrices de los grupos de sociedades o, en su caso, sociedades que desarrollen simultáneamente las actividades de producción, distribución y comercialización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Más adelante, advierte de que la sentencia del Tribunal Supremo considera que los criterios reflejados en la exposición de motivos del Real Decreto-ley 9/2013 no justifican debidamente el sistema de financiación del bono social que, en síntesis, corre a cargo de las sociedades que realizan simultáneamente las actividades de generación, distribución y comercialización en el sector eléctrico. Tampoco, según la referida sentencia, aparece debidamente justificado el carácter no discriminatorio y proporcional de ese nuevo régimen de financiación, atendido el criterio que sostuvo la Abogacía del Estado en la contestación a la demanda, que se centraba en la especial posición que tienen, dentro del sector eléctrico, las empresas que constituyen un grupo integrado verticalmente y realizan, simultáneamente, las actividades ya indicadas, lo que les faculta para atemperar la incidencia de las obligaciones de servicio público puestas a su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doctrina constitucional, la correcta aplicación del Derecho de la Unión Europea es una cuestión infraconstitucional que corresponde a la jurisdicción ordinaria, a quien también compete decidir sobre el planteamiento de las cuestiones prejudiciales ante el Tribunal de Justicia de la Unión Europea, de acuerdo a lo preceptuado en el art. 267 Tratado de funcionamiento de la Unión Europea. Ahora bien, lo expuesto no significa que las decisiones judiciales sobre ese particular estén exentas de cualquier control de constitucionalidad pues, por el contrario, están sujetas al canon de control que es propio de cualquier resolución judicial. No obstante, el ministerio fiscal advierte del especial control de constitucionalidad que procede efectuar respecto de aquellas resoluciones judiciales que no aplican una norma legal interna, por su apreciada contrariedad con el Derecho de la Unión, sin plantear cuestión prejudicial, ni tampoco cuestión de inconstitucionalidad. Afirma que en estos casos —y no en los que el órgano judicial aplica la norma interna sin plantear cuestión prejudicial, por estimarla conforme con el Derecho de la Unión Europea (STC 27/2013)— se pueden lesionar los derechos a la tutela judicial efectiva y al proceso debido. En apoyo de lo expuesto trae a colación la STC 232/2015, de 5 de noviembre, FJ 5, para poner de relieve que la inaplicación de una ley interna por entenderla incompatible con el Derecho de la Unión Europea, sin previamente formular cuestión prejudicial ante el Tribunal de Justicia de la Unión Europea, resulta contraria al derecho a un proceso con todas las garantías (art. 24.2 CE), siempre que exista “una duda objetiva, clara y terminante sobre esa supuesta contradicción (STC 58/2004, FFJJ 9 a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ha puesto de manifiesto que, en orden a enjuiciar desde la perspectiva del art 24. 1 CE, el carácter fundado de una resolución judicial que inaplica una norma legal vigente por su oposición al Derecho europeo, sin suscitar cuestión prejudicial, habrá que estar a lo establecido por la propia doctrina del Tribunal de Justicia de la Unión Europea acerca de los presupuestos para la formulación de la cuestión prejudicial, correspondiendo a los órganos judiciales apreciar la concurrencia de tales presupuestos (STC 78/2010, de 20 de octubre, FJ 2). En la misma línea el Tribunal Europeo de Derechos Humanos en su sentencia de fecha de 8 de abril de 2014, caso Dhabi contra Italia, también pone de manifiesto, en relación con el derecho al proceso debido reconocido en el art 6.1 del Convenio Europeo para la protección de los derechos humanos y de las libertades fundamentales, que los órganos judiciales nacionales deben justificar, de acuerdo con la doctrina del Tribunal de Justicia de la Unión Europea, los supuestos por los que deciden no plantear cuestión prejudicial y en los casos en que no se plantea la cuestión prejudicial y se inaplica directamente la norma legal nacional, se incide en la integridad del ordenamiento jurídico, al eludir también el control de la cuestión de inconstitucionalidad, sobre la base de la primacía del Derecho de la Unión. Así, en la STC 78/2010, el Tribunal Constitucional entró a enjuiciar, en el caso que examinaba, el carácter fundado de la resolución que había inaplicado la norma legal vigente, sin plantear cuestión prejudicial por estimar que ya existía una decisión prejudicial del Tribunal de Justicia de la Unión Europea sobre la cuestión objeto del proceso, y apreció que esta decisión del órgano judicial no estaba correctamente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sintetizar la doctrina Cilfit sobre los supuestos de dispensa del planteamiento de la cuestión prejudicial, el ministerio fiscal compendia la argumentación judicial dada a favor de omitir la cuestión prejudicial. Sobre ese particular, pone de relieve que, en el fundamento jurídico 8 de las sentencias a las que se remite la recurrida, se afirma que, en la sentencia de 7 de febrero de 2012, el Tribunal Supremo resolvió que no era necesario plantear esa cuestión respecto de la correcta aplicación del art. 3.2 de la Directiva 2003/54/CE, sobre normas comunes para el mercado interior de la electricidad, puesto que ya existía una decisión prejudicial al respecto, concretamente la sentencia del Tribunal de Justicia de la Unión Europea de 20 de abril 2010 recaída en el asunto Federutility, que la referida resolución consideró como “acto aclarado”. En relación con el presente supuesto, el órgano judicial también considera que existen decisiones prejudiciales del Tribunal de Justicia de la Unión Europea en casos análogos; en concreto, la ya citada sentencia del Tribunal de Justicia de 20 de abril de 2010, dictada en al asunto Federutility, y la de 7 de septiembre de 2016, recaída en el asunto Anode. En relación con esta última sentencia, señala que el órgano judicial apreció que las consideraciones que en dicha resolución se formulan respecto de la normativa francesa sobre precios regulados en el suministro del gas, en relación con los requisitos que establece la Directiva 2009/73/CE para las obligaciones de servicio público impuestas a las empresas de gas natural, son trasladables a la regulación de la financiación del bono social que establece el art. 45.4 LSE; y, en base a ello, consideró que dicho precepto es contrario a lo dispuesto en el art. 3.2 de la Directiva 2009/72/CE, pues no cumple las condiciones de transparencia, no discriminación, control y proporcionalidad exigidas por esa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ministerio fiscal comparte el criterio de la administración recurrente acerca de que el Tribunal Supremo no ha justificado realmente que concurra un supuesto de “acto aclarado”, pues se ha limitado a expresar una declaración de voluntad, que es la de estimar que la decisiones del Tribunal de Justicia de la Unión Europea en esas sentencias son plenamente trasladables a la cuestión controvertida sobre la nueva regulación del régimen de financiación del bono social, pero no ofrece ninguna explicación sobre cuáles son los criterios que le permiten considerar que pueden ser aplicables, para resolver la cuestión controvertida, unas decisiones prejudiciales del Tribunal de Justicia de la Unión Europea que se pronuncian sobre la interpretación de las Directivas relativas al mercado del gas —y no sobre las del mercado de la electricidad— y además se refieren a otro tipo de obligaciones de servicio público distintas del bono social. La sentencia del caso Anode versa sobre un supuesto en el que la norma legal controvertida impone a determinadas empresas suministradoras de gas un precio regulado a clientes finales, a fin de garantizar el suministro y la cohesión territorial y por el contrario, en el caso que aquí nos ocupa el supuesto versa sobre una norma que regula el régimen de financiación por parte del sector eléctrico, de una medida destinada a favorecer al consumidor vulnerable.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entiende que no se ha apreciado correctamente la doctrina del “acto aclarado”, pues el objeto de la decisión prejudicial que fue resuelta por el Tribunal de Justicia de la Unión Europea (caso Anode) no puede ser considerado idéntico o análogo al actual; se trata de Directivas distintas, cuya aplicación se proyecta sobre los mercados interiores de dos productos energéticos diferentes (gas y energía); y la norma legal controvertida impone un precio regulado a determinadas suministradoras de gas, a fin de garantizar el suministro y la cohesión social (asunto Anode), mientras que en el proceso de origen del presente recurso de amparo, la cuestión discutida se refiere al régimen de financiación del bono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reitera que el tribunal a quo no ha apreciado correctamente la doctrina del “acto aclarado”, ya que la sentencia en que se basa el tribunal para considerar que puede abstenerse de plantear cuestión prejudicial no puede catalogarse como materialmente idéntica, ni que haya recaído en un asunto análogo, que permita conocer “de manera evidente y sin ninguna duda objetiva razonable cuál es la correcta aplicación de la norma europea en el caso controvertido”. Por tanto, la existencia de dudas razonables sobre la interpretación de la norma comunitaria, en relación con la regulación legal discutida, determina que no proceda considerar que concurra un supuesto de “acto aclarado”. A lo que cabe añadir que los supuestos de dispensa del planteamiento de la cuestión prejudicial deben ser objeto de interpretación estricta, tal y como pone de relieve la sentencia. También incide a favor de esas dudas la existencia de un voto particular en las sentencias dictadas por la Sección Tercera de la Sala de lo Contencioso del Tribunal Supremo en las que se basa la sentencia impugnada en esta sede y el dictamen del Consejo de Estado relativo al proyecto de orden por el que se desarrolla la metodología para la fijación de los porcentajes de reparto de las cantidades a financiar respecto del bono social, que satisface los requisitos impuestos por la normativa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estima que se han vulnerado los derechos fundamentales a la tutela judicial efectiva sin indefensión y al proceso debido (arts. 24. 1 y 2 CE), pues se ha incurrido en un exceso de jurisdicción al pronunciarse la Sala Tercera del Tribunal Supremo sobre la incompatibilidad de la norma legal con el Derecho europeo al margen del proceso debido, vulnerando el sistema de fuentes, al inaplicar directamente la norma legal vigente y eludir indebidamente el mecanismo de control, interesando una sentencia estimatoria del amparo solicitado, que anule las resoluciones impugnadas, con retroacción de actuaciones, al objeto de que por la Sala Tercera del Tribunal Supremo se dicte nueva resolución que sea respetuosa con los derechos fundamentales infringidos.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de los tribunales doña Cecilia Díaz-Caneja Rodríguez, en nombre y representación de ASEME, presentó sus alegaciones ante este Tribunal el 25 de octubre de 2018, interesando la inadmisión y, subsidiariamente,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delimitar el objeto del recurso y expresar su posición respecto del mismo, alega, en primer lugar, que procede su inadmisión por insuficiente justificación de la especial trascendencia constitucional, requisito indispensable para la admisión de acuerdo con el art. 50 LOTC. A su juicio, la demanda se limita a reiterar la supuesta existencia de la lesión de derechos fundamentales aducida, lo que resulta insuficiente según reiterada doctrina del Tribunal, citando al efecto las SSTC 128/2014, de 21 de julio, y 77/2015, de 27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considera esta parte codemandada que procede la inadmisión del recurso de amparo porque el mismo carece de especial trascendencia constitucional. A su juicio resulta improcedente justificar la especial trascendencia constitucional en la supuesta inexistencia de doctrina consolidada al respecto de los supuestos de exoneración en el planteamiento de cuestiones prejudiciales ante el Tribunal de Justicia de la Unión Europea, ya que este Tribunal se ha pronunciado en numerosas ocasiones sobre esta cuestión, refiriéndose a las SSTC 78/2010, de 20 de octubre; 145/2012, de 2 de julio, y 232/2015, de 5 de noviembre. Finalmente, dentro de este mismo apartado, admitiendo el carácter indeterminado del contenido de la expresión “especial trascendencia constitucional”, argumenta que no concurre ninguno de los supuestos contemplados en la STC 155/2009, de 25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y último lugar, aduce que procede la inadmisión o, subsidiariamente, la desestimación del recurso por inexistencia de las vulneraciones de los derechos fundamentales denunciadas. A su juicio, la sentencia impugnada no incurre en falta de motivación en lo que respecta a la posibilidad de inaplicar la normativa interna sin necesidad de plantear cuestión prejudicial, señalando que la simple discrepancia entre las partes no es justificación suficiente para apreciar la falta de motivación de la sentencia. Tampoco se ha producido vulneración del derecho a la tutela judicial efectiva sin indefensión y al proceso con todas las garantías (apartados 1 y 2 del art. 24 CE), alegando al respecto el precedente de inadmisión del recurso de amparo interpuesto por la Administración General del Estado contra la sentencia del Tribunal Supremo de 7 de febrero de 2012 (recurso contencioso-administrativo núm. 419-2010), sobre un supuesto de hecho que califica de “prácticamente idéntico”. Se refiere después a la doctrina del “acto aclarado” y la innecesaridad de plantear cuestión prejudicial ante el Tribunal de Justicia de la Unión Europea por existir dos sentencias de dicho Tribunal en supuestos materialmente idénticos al resuelto por el Tribunal Supremo y argumenta que las sentencias de contraste del Tribunal de Justicia, sobre la base de las cuales el Tribunal Supremo acuerda inaplicar una ley nacional por contravenir una Directiva europea, fueron dictadas en supuestos sustancialmente idénticos al enjuiciado por el Tribunal Supremo. La vulneración pretendida por el abogado del Estado no es tal desde el momento en que el Tribunal Supremo otorgó plazo a las partes en sede del recurso contencioso-administrativo núm. 960-2014 para que manifestasen lo pertinente al respecto de la sentencia del Tribunal de Justicia de la Unión Europea de fecha 7 de septiembre de 2016 (asunto C-121/15), caso Anode. Finalmente, expone detalladamente la metodología empleada para la financiación del bono social y defiende la identidad material de la misma y la que dio lugar al conflicto resuelto mediante la sentencia del Tribunal de Justicia de 7 de septiembre de 2016 en torno a la posibilidad de imponer obligaciones de servicio público y la protección de los colectivos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26 de octubre de 2018 tuvieron entrada en este Tribunal las alegaciones de Iberdrola, S.A. En primer lugar explica el contexto y los antecedentes relevantes de la controversia judicial, en particular la Directiva 2009/72/CE y las normas nacionales que regulan el bono social. Resume, después, el contenido de la sentencia impugnada y los motivos de amparo expuestos por la administración. Posteriormente, trae a colación la doctrina del Tribunal Constitucional según la cual no cabe cuestionar, con base en el art. 24.1 CE, la decisión del tribunal ordinario de no plantear la cuestión prejudicial, siempre que esa decisión sea el fruto de una exégesis racional de la legalidad ordinaria. No obstante, reconoce que existen dos matizaciones a esa doctrina, como así se señala en la STC 232/2015: cuando el tribunal nacional toma una decisión contraria a la doctrina ya establecida por la Unión Europea, lo que no concurre en el caso que nos ocupa; y en aquellos supuestos en que “dejar de aplicar una ley interna, sin plantear cuestión de inconstitucionalidad, por entender un órgano jurisdiccional que esa ley es contraria al derecho de la Unión Europea, sin plantear tampoco cuestión prejudicial ante el Tribunal de Justicia de la Unión Europea, es contrario al derecho a un proceso con todas las garantías (art. 24.2 CE) si existe una ‘duda objetiva, clara y terminante’ sobre esa supuesta contradicción (STC 58/2004, FFJJ 9 a 14)”. No obstante, tras invocar las SSTC 212/2014, de 18 de diciembre; y 99/2015, de 25 de mayo, afirma que, desde la perspectiva del mencionado art. 24.2 CE, es suficiente con que, al órgano judicial, no se le planteen dudas sobre el alcance del Derecho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la codemandada lleva a cabo una exposición sobre la argumentación dada en la STC 58/2004 acerca del alcance y finalidad de la cuestión prejudicial ante el Tribunal de Justicia de la Unión Europea que, según afirma, no consiste en aclarar la aplicación al caso concreto del Derecho de la Unión Europea, sino en concretar cuál es su interpretación y alcance, para, seguidamente, afirmar que el recurso de amparo ha perdido su objeto. Tal aserto trae causa de la entrada en vigor del Real Decreto-ley 7/2016, de 23 de diciembre, que regula el mecanismo de financiación del coste del bono social y otras medidas de protección al consumidor vulnerable de energía eléctrica, norma esta que fue promulgada tras el dictado de la sentencia recurrida en amparo. Según sostiene, en la exposición de motivos de la mencionada norma se contemplan los principios que deben regir la financiación del bono social, con el mismo alcance que se fija en la sentencia dictada por el Tribunal Supremo; y ello porque la selección de las empresas comercializadoras de energía eléctrica para costear el bono social constituye una medida basada en razones objetivas, transparentes y no discriminatorias, que no quiebran el principio de proporcionalidad conforme a la doctrina establecida en esa Sentencia. Siendo así, en el presente recurso no se plantea ningún debate sustantivo sobre lo dicho por el Tribunal Supremo acerca de cuál deba ser la interpretación y aplicación del derecho de la Unión, ni sobre lo que podría haber dicho de forma distinta el Tribunal de Justicia de la Unión Europea, de haberse planteado la cuestión prejudicial. De ahí que la actual controversia sea puramente formal y en cierto sentido bizantina, pues pretende que el Tribunal Supremo plantee una cuestión prejudicial para resolver una cuestión de fondo que ya no es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afirma que el recurso de amparo carece de especial trascendencia constitucional, pues la que expresamente aduce la administración recurrente no es tal. Señala que no corresponde al Tribunal Constitucional clarificar cuáles son los supuestos que han de concurrir para aplicar la doctrina del “acto claro” o del “acto aclarado”, ya que esa cuestión se anuda a la interpretación del art. 267 TFUE y de la jurisprudencia dictada en su desarrollo por el Tribunal de Justicia de la Unión Europea. Por otro lado, aunque sí corresponde al Tribunal Constitucional analizar, desde la perspectiva del art. 24 CE, la interpretación que el tribunal ordinario haga del art. 267 Tratado de funcionamiento de la Unión Europea, pone de relieve que, sobre ese aspecto, la doctrina constitucional es inequívoca y pétrea, como ha quedado expuesto. Asimismo, recuerda que, en un caso que considera idéntico, concretamente el resuelto por la STS de fecha 7 de febrero de 2012, que declaró inaplicable el sistema de financiación del bono social regulado en el Real Decreto-ley 6/2009, el Tribunal Constitucional acordó la inadmisión de la demanda de amparo interpuesta por la Abogacía del Estado, mediante providencia de 26 de septiembre de 2012, al apreciar la manifiesta inexistencia de violación de un derecho fundamental tutelable. Añade que, pese a los esfuerzos de la administración demandante por poner de relieve las diferencias entre el modelo de financiación seguido por el Real Decreto-ley 6/2009 (el coste se distribuía entre una lista de entidades cerrada e inamovible) y el establecido por el art. 45.4 LSE (sistema no definitivo ni nominal, sino contingente), lo cierto es que las diferencias que refiere la demandante no son tales, por lo que procede adoptar la misma decisión que la acordada en la providencia indicada. Además, añade que la administración carece de legitimación para recurrir, pues aunque el recurso de amparo también se encuadra formalmente en el artículo 24.2 CE, lo que realmente se invoca es un déficit de motivación que debe encontrar encaje en el artículo 24.1 CE. Y esa dimensión del derecho a la tutela judicial efectiva sin indefensión no protege a las personas jurídico-públicas cuando, como acontece en el presente, la administración actúa en el ejercicio de sus potestades jurídico-públicas.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niega que las resoluciones impugnadas hayan vulnerado el art. 24 CE. Tras detallar exhaustivamente los diferentes argumentos que ofrece la sentencia para desmontar las razones contenidas en la exposición de motivos del Real Decreto-ley 9/2013 acerca del sistema de financiación del bono social, así como las que ofrece para justificar el no planteamiento de la cuestión prejudicial ante el Tribunal de Justicia de la Unión Europea, de todo ello colige: i) que en el presente supuesto no existe una duda objetiva, clara y terminante sobre la contradicción entre el Derecho de la Unión y el Derecho Nacional, pues así lo expresa el Tribunal Supremo en su razonamiento y ii) que la decisión adoptada por ese órgano judicial es fruto de una exégesis racional de la legalidad ordinaria y no resulta ser, por tanto, manifiestamente arbitraria o injustificada. Y ello porque la referida resolución explica de manera detallada los hechos del caso y los principios y la normativa aplicable; expone la doctrina del Tribunal de Justicia de la Unión Europea que considera de aplicación en relación con los límites impuestos a las obligaciones de servicio público (asuntos Federutility y Anode) y constata que esa doctrina coincide con la interpretación del art. 3 de la Directiva 2009/72/CE, por lo que concluye con la afirmación de que el Tribunal Supremo decidió no plantear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apoyo de la decisión adoptada por el Tribunal Supremo, considera que, entre la obligación de financiar el déficit de tarifa y financiar el bono social, existen sustanciales diferencias, principalmente porque esta última es una obligación de servicio público. También refiere que, datos tales como la formulación de un voto particular proclive al planteamiento de la cuestión prejudicial, que el dictamen en Consejo de Estado no opusiera reparos a la compatibilidad del sistema de financiación del bono social con el Derecho de la Unión o que se excluyera la imposición de costas porque la controversia suscita suficientes dudas de Derecho para considerar improcedente la condena en costas, no engendran una “duda razonable” que determine la necesidad de plantear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abril de 2019, se señaló para deliberación y votación de la presente sentencia el día 6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presente recurso de amparo tiene por objeto la sentencia dictada por la Sección Tercera de la Sala de lo Contencioso-administrativo del Tribunal Supremo el día 7 de diciembre de 2017 en el recurso de casación núm. 122-2016, así como el auto de 29 de enero de 2018, de la misma Sala y Sección, que desestimó el incidente de nulidad de actuaciones promovido por la recurrente frente a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objeto del presente proceso constitucional como los planteamientos procesales y sustantivos introducidos por las partes en el debate de este recurso son sustancialmente coincidentes con los que ya han sido abordados por el Pleno del Tribunal Constitucional en nuestra reciente STC 37/2019, de 26 de marzo (recurso de amparo núm. 593-2017), a cuyos fundamentos debemos remitirnos. En consecuencia, procede desestimar la alegación de que la parte demandante (Administración General del Estado) no ha justificado la especial transcendencia constitucional del recurso [STC 37/2019, FJ 3 b)], de que carece de especial transcendencia constitucional [STC 37/2019, FJ 3, b)], así como la de que se ha producido la pérdida sobrevenida de objeto (STC 37/2019, FJ 2) y de falta de legitimación de la administración demandante [STC 37/2019, FJ 3 a)], y debemos dar por reproducidos los FFJJ 4 a 6. En ellos, tras exponer la doctrina constitucional sobre el planteamiento de la cuestión prejudicial y examinar el pronunciamiento de la Sala Tercera del Tribunal Supremo en el caso enjuiciado, consideramos vulnerado el derecho a un proceso con todas las garantías (art. 24.2 CE), debido a la ausencia de los presupuestos necesarios para apreciar que concurriera “acto aclarado” que exima de la obligación de plantear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procede estimar el recurso de amparo por vulneración del derecho a un proceso con todas las garantías (art. 24.2 CE) y declarar la nulidad de la sentencia y del auto objeto de impugnación, con retroacción de actuaciones al momento anterior al de dictarse la primera de las resoluciones citadas, a fin de que la Sala de lo Contencioso-Administrativo del Tribunal Supremo dicte otra resolución respetuosa con el derecho fundamental conculcado.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solicitado por la Administración General del Estado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un proceso público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 la Sección Tercera de la Sala de lo Contencioso-Administrativo del Tribunal Supremo de 7 de diciembre de 2017, recaída en el recurso de casación núm. 122-2016, y el auto de 29 de enero de 2018, de la misma Sala y Sección, por el que se desestimó el incidente de nulidad de actuaciones promovido frente a la referida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de la sentencia, para que el indicado órgano judicial dicte nueva resolución que sea respetuosa con el derecho fundamental vulnerado, en los términos expresados en el fundamento jurídico quinto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