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1541-2018, promovido por el abogado del Estado, en representación de la Administración General del Estado, contra la sentencia de la Sección Tercera de la Sala de lo Contencioso-Administrativo del Tribunal Supremo de 12 de diciembre de 2017, recaída en el recurso de casación núm. 3864-2015, y el auto de 2 de febrero de 2018, que desestimó el incidente de nulidad de actuaciones promovido frente a la anterior. Han intervenido la entidad Cooperativa Eléctrica Benéfica San Francisco de Asís, cooperativa valenciana, representada por la procuradora de los tribunales doña Cecilia Díaz-Caneja Rodríguez y defendida por la letrada doña Irene Bartol Mir, y el ministerio fiscal. Ha sido ponente el magistrado don Juan José González Rivas, presidente.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marzo de 2018, el abogado del Estado, en representación de la Administración General del Estado,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Cooperativa Eléctrica Benéfica San Francisco de Asís, cooperativa valenciana, interpuso recurso contencioso-administrativo contra la Orden IET/350/2014, de 7 marzo, por la que se fijan los porcentajes de reparto de las cantidades a financiar relativas al bono social correspondientes a 2014, la cual tiene como base normativa el art 45.4 de la Ley 24/2013, de 29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del recurso contencioso-administrativo se solicitó: (i) que se declarase la ilegalidad y consiguiente inaplicación de la Orden IET/350/2014, de 7 marzo y del art 45.4 LSE 24/2013, por vulneración de lo dispuesto en el art 3 de la Directiva 2009/72 del Parlamento Europeo y del Consejo, de 13 de julio de 2009, sobre normas comunes para el mercado interior de la electricidad, por considerar que el mecanismo de financiación del bono social que se establece por las normas cuya inaplicabilidad se solicita es discriminatorio y no garantiza a las empresas eléctricas de la Unión Europea el acceso en igualdad de condiciones a los consumidores nacionales; ii) se declarase la ilegalidad y consiguiente anulación de la Orden IET/350/2014, de 7 marzo y del art 45.4 LSE 24/2013, por vulneración de los dispuesto en el art 9.3 y 14 CE, en la medida que el mecanismo de financiación del bono social que establecen esas normas resulta discriminatorio y por ello arbitrario; (iii) se declarase la ilegalidad y consiguiente anulación de la Orden IET/350/2014, de 7 marzo y del art 45.4 LSE 24/2013, por vulneración de los arts. 39 y 41 CE, al no configurarse el bono social como un coste a cargo de los presupuestos generales, siendo un ayuda social que debe recaer en los poderes públicos y (iv) que se condenase a la Administración General del Estado a adoptar las medidas necesarias para el restablecimiento de la situación jurídica individualizada del recurrente vulnerada por la Orden IET/350/2014, de 7 marzo, restituyendo al mismo en lo indebidamente pagado a la Comisión Nacional de los Mercados y la Competencia, con los intereses legales correspondientes desde la fecha de su efectivo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citado recurso contencioso-administrativo, registrado con el núm. 184-2014, conoció la Sección Cuarta de la Sala de lo Contencioso-Administrativo de la Audiencia Nacional que, tras la tramitación del procedimiento, dictó sentencia el 21 de octubre 2015 desestimando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dictada por la Sala de lo Contencioso-Administrativo de la Audiencia Nacional, interpuso la entidad recurrente recurso de casación, del que, con el núm. 3864-2015, conoció la Sección Tercera de la Sala de lo Contencioso-Administrativo del Tribunal Supremo que dictó sentencia el 12 de diciembre de 2017, estimando el recurso de casación y anulando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la Sección Tercera de la Sala de lo Contencioso Administrativo del Tribunal Supremo estimó el recurso contencioso-administrativo interpuesto Cooperativa Eléctrica Benéfica San Francisco de Asís, cooperativa valenciana y declaró la nulidad de la Orden IET/350/2014, de 7 marzo, por la que se fijan los porcentajes de reparto de las cantidades a financiar relativas al bono social correspondientes a 2014. Estableció asimismo el derecho de la recurrente a ser indemnizada por las cantidades abonadas en concepto de bono social en aplicación de la citada Orden que fue dictada en desarrollo del art 45.4 LSE, debiendo serle reintegradas todas las cantidades abonadas en ese concepto y correspondientes a 2014, con los intereses legales desde la fecha del pago hasta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remite a las sentencias de la misma Sala de 24 de octubre de 2016 (recursos contencioso-administrativos núm. 960-2014 y 961-2014), 25 de octubre de 2016 (recurso núm. 16-2015) y 2 de noviembre de 2016 (recurso núm. 11-2015), en las que se declara inaplicable el régimen de financiación del bono social establecido en el artículo 45.4 de la Ley 24/2013, de 26 de diciembre,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muestra las resoluciones recaídas en el recurso contencioso-administrativo núm. 961-2014 recuerda lo que señala el fundamento jurídico séptimo de la sentencia de 24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24/2013 no contiene una relación nominal de las empresas o grupos de empresas que deben asumir la financiación del bono social. Fue la Orden IET/350/2014, de 7 de marzo, por la que se fijan los porcentajes de reparto de las cantidades a financiar relativas al bono social correspondientes a 2014 —Orden dictada en aplicación de lo previsto en el artículo 45.4 de la Ley 24/2013 , pero antes de que se hubiese producido el desarrollo reglamentario de ésta mediante el Real Decreto 968/2014— la que vino a identificar a las entidades concernidas y a fijar los porcentajes de reparto de las cantidades a financiar relativas al bono social correspondiente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también se refiere al auto de la Sala de lo Contencioso-Administrativo del Tribunal Supremo de 18 de septiembre de 2017 (recurso núm. 961-2014), que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señalado en la propia sentencia que la Orden IET/350/2014 fue dictada en aplicación de lo previsto en el artículo 45.4 de la Ley 24/2013, y como sabemos, en el apartado 2 de la parte dispositiva de la sentencia se acuerda ‘2. Declarar inaplicable el régimen de financiación del bono social establecido en el artículo 45.4 de la Ley 24/2013, de 26 de diciembre, por resultar incompatible con la Directiva 2009/72/CE...’. Por tanto, bien podría decirse que la Orden IET/350/2014 tiene el mismo vicio de origen que el Real Decreto 968/2014, de 21 de noviembre, por cuanto ambos traen causa de un precepto legal que ha sido declarado inaplicable por resultar incompatible con la norma comunitaria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sentencia no declara la nulidad de la Orden IET/350/2014 —no era objeto de impugnación en el proceso ni se formulaba pretensión respecto de ella— y en los apartados 3 y 4 del fallo se declaran inaplicables y nulos los artículos 2 y 3 del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pronunciamientos trascritos la sentencia del Tribunal Supremo examinada extrae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así que el vicio de origen que aqueja a la Orden IET/350/2014 aparece ya señalado de forma anticipada en los autos dictados en ejecución de las sentencias que declaran inaplicable el régimen de financiación del bono social establecido en el artículo 45.4 de la Ley 24/2013 e inaplicables y nulos los artículos 2 y 3 del Real Decreto 968/2014. Y si tales autos no declararon la nulidad de la Orden IET/350/2014 fue, sencillamente, porque la Orden no había sido objeto de impugnación en el proceso ni se había formulado pretensión respecto de ella. Además, en los propios autos quedaba señalado que no debíamos interferir entonces en lo que era objeto de otros litigios, pues la Orden IET/350/2014 había sido objeto de impugnación en diferentes recursos seguidos ante la Sala de lo Contencioso-Administrativo de la Audiencia Nacional y contra las sentencias recaídas en tales procesos se había interpuesto recursos de casación que se encontraban en aquel momento pendientes de resolución (recurso de casación 3127-2015, 3332-2015, 3374-2015, 3864-2015, 3875-2015, 3885-2015, 122-2016, 149-2016 y 714-2016)”.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interpuso la abogacía del Estado incidente de nulidad de actuaciones en el que se alegaba vulneración del derecho a la tutela judicial efectiva y al proceso con todas las garantías, en cuanto al no planteamiento de cuestión prejudicial ante el Tribunal de Justicia de la Unión Europea y por no haberse planteado cuestión de inconstitucionalidad, e incongruencia omisiva. La Sección Tercera de la Sala de lo Contencioso-Administrativo del Tribunal Supremo desestimó dicho incidente de nulidad por auto de fecha 2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el órgano judicial rechaza que se hayan producido las vulneraciones objeto de denuncia, toda vez que en las sentencias antes citadas de 24 de octubre de 2016 (dos sentencias con esa fecha dictadas en los recursos 960-2014 y 961-014), 25 de octubre de 2016 (recurso 16-2015) y 2 de noviembre de 2016 (recurso 11-2015), se explicitan las causas por las que no resulta precisa su formulación. En concreto, refiere que “no reiteraremos aquí las razones que dimos entonces, que la Abogacía del Estado conoce, sin duda, pues la Administración fue parte en todos aquellos procesos. Lo que interesa destacar ahora es que si el planteamiento de cuestión prejudicial ante el Tribunal de Justicia de la Unión Europea se consideró innecesario entonces, con mayor razón resultará innecesario el planteamiento de la cuestión prejudicial para declarar la nulidad de una Orden que fue dictada en desarrollo del precepto legal que entonces se declaró inaplicable por ser contrario al ordenamiento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análogas a las señaladas también se descarta la queja por no haberse planteado cuestión de inconstitucionalidad: “Una vez que por sentencia firme había sido declarado inaplicable el artículo 45.4 de la Ley 24/2013, por contravenir el Derecho de la Unión Europea, la constatación de que la Orden IET/350/2014 había sido dictada precisamente en desarrollo de aquel precepto legal llevaba directamente a la conclusión de que dicha orden debía ser declarada nula, sin que para hacer tal pronunciamiento resultase necesario el previo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desecha la queja de haber incurrido en incongruencia omisiva, pues “si el motivo de nulidad se ciñe a la falta de examen en la sentencia de los argumentos esgrimidos por la abogacía del Estado en su escrito de oposición del recurso de casación, lo cierto es que la razón dada en la sentencia para declarar nula la Orden IET/350/2014 —esto es, la existencia de pronunciamientos judiciales firmes que declaran inaplicable el precepto legal a que dicha orden sirve de desarrollo— hacía innecesario el examen de aquellos argumentos de oposición, como innecesario se consideró también el examen de los motivos de casación formulados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la parte recurrente justifica la especial trascendencia constitucional del recurso por considerar que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Esa temática ostenta una clara relevancia pues, conforme a la STC 232/2015, dejar de aplicar una ley interna sin previamente plantear cuestión prejudicial ante el Tribunal de Justicia,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esta perspectiva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demanda se refiere exclusivamente a las sentencias del Tribunal Supremo a las que se remite la impugnada.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La demanda sostiene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la sentencia recurrida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pues ni puede imponerse con tal evidencia la similitud entre asuntos, de manera que no quepa albergar duda razonable sobre la solución de la cuestión, ni tampoco la cuestión suscitada es materialmente idéntica a otra anterior que hubiera sido objeto de una decisión prejudicial. Para la parte recurrente el Tribunal Supremo sustenta la aplicación al caso de la doctrina del “acto aclarado” en las sentencias recaídas en los asuntos Federutility y Anode que constituyen supuestos análogos que, conforme a la “doctrina Cilfit”, justifican la inaplicación del art. 45.4 de la LSE. Sin embargo, respecto de la sentencia del Tribunal de Justicia de la Unión Europea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respecto a la segunda de las sentencias traídas a colación por el Tribunal Supremo, esto es, la sentencia del Tribunal de Justicia de la Unión Europea de 7 de septiembre de 2016 (asunto Anode) su doctrina no la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demanda invoca algunos de los argumentos que figuran en el voto particular formulado por el magistrado disidente a la sentencia de 14 de octubre de 2016, consistentes, en síntesis, en que concurren diferencias sustanciales entre el caso resuelto por el Tribunal de Justicia de la Unión Europea y los presupuestos fácticos y jurídicos examinados en el recurso contencioso-administrativo tramitado por el Tribunal Supremo, por lo que no resulta aplicable la doctrina del “acto aclarado” a fin de eludir el planteamiento de la cuestión prejudicial en el presente caso y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de la Unión Europea; y iii) el juez nacional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27 de marzo 2018 del secretario de justicia de la Sección Primera de este Tribunal se acordó conceder a la parte recurrente un plazo de diez días para que presentara copia de la sentencia de 21 de octubre de 2015 de la Audiencia Nacional, lo que se llevó a cabo mediante escrito que se registró el 5 de abril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octubre de 2018, la Sección Primera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En aplicación de lo dispuesto en el art. 51 de la Ley Orgánica del Tribunal Constitucional (LOTC), se acordó dirigir atenta comunicación a la Sección Tercera de la Sala de lo Contencioso-Administrativo del Tribunal Supremo a fin de que, en plazo que no excediera de diez días, remitiera certificación o fotocopia adverada de las actuaciones correspondientes al recurso de casación núm. 3864-2015. Asimismo se acordó dirigir atenta comunicación a la Sección Cuarta de la Sala de lo Contencioso-Administrativo de la Audiencia Nacional, para que en el mismo plazo remitiese certificación o fotocopia adverada de las actuaciones correspondientes al recurso contencioso-administrativo núm. 184-2014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de los órganos judiciales, por diligencia de ordenación del secretario de justicia de la Sección Primera de este Tribunal de fecha 13 de noviembre de 2018, se acordó tener por personada y parte en el procedimiento a la procuradora doña Cecilia Díaz-Caneja Rodríguez, en nombre y representación de Cooperativa Eléctrica Benéfica San Francisco de Asís, cooperativa valenciana, ordenándose entender con ella las sucesivas diligencias,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Cecilia Díaz-Caneja Rodríguez, en nombre y representación de Cooperativa Eléctrica Benéfica San Francisco de Asís, cooperativa valenciana, presentó sus alegaciones ante este Tribunal el 13 de diciembre de 2018, interesando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delimitar el objeto del recurso y expresar su posición respecto del mismo, alega, en primer lugar, que procede su inadmisión por insuficiente justificación de la especial trascendencia constitucional, requisito indispensable para la admisión de acuerdo con el art. 50 LOTC. A su juicio, la demanda se limita a reiterar la supuesta existencia de la lesión de derechos fundamentales aducida, lo que resulta insuficiente según reiterada doctrina del Tribunal, citando al efecto las SSTC 128/2014, de 21 de julio, y 77/2015,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esta parte codemandada que procede la inadmisión del recurso de amparo porque el mismo carece de especial trascendencia constitucional. A su juicio resulta improcedente justificar la especial trascendencia constitucional en la supuesta inexistencia de doctrina consolidada al respecto de los supuestos de exoneración en el planteamiento de cuestiones prejudiciales ante el Tribunal de Justicia de la Unión Europea, ya que este Tribunal se ha pronunciado en numerosas ocasiones sobre esta cuestión, refiriéndose a las SSTC 78/2010, de 20 de octubre; 145/2012, de 2 de julio, y 232/2015, de 5 de noviembre. Finalmente, dentro de este mismo apartado, admitiendo el carácter indeterminado del contenido de la expresión “especial trascendencia constitucional”, argumenta que no concurre ninguno de los supuestos contemplados en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aduce que procede la inadmisión o, subsidiariamente, la desestimación del recurso por inexistencia de las vulneraciones de los derechos fundamentales denunciadas. A su juicio, la sentencia impugnada no incurre en falta de motivación en lo que respecta a la posibilidad de inaplicar la normativa interna sin necesidad de plantear cuestión prejudicial, señalando que la simple discrepancia entre las partes no es justificación suficiente para apreciar la falta de motivación de la sentencia. Tampoco se ha producido vulneración del derecho a la tutela judicial efectiva sin indefensión y al proceso con todas las garantías (apartados 1 y 2 del art. 24 CE), alegando al respecto el precedente de inadmisión del recurso de amparo interpuesto por la Administración General del Estado contra la sentencia del Tribunal Supremo de 7 de febrero de 2012 (recurso contencioso-administrativo núm. 419-2010), sobre un supuesto de hecho que califica de “prácticamente idéntico”. Se refiere después a la doctrina del “acto aclarado” y la innecesaridad de plantear cuestión prejudicial ante el Tribunal de Justicia de la Unión Europea por existir dos sentencias de dicho Tribunal en supuestos materialmente idénticos al resuelto por el Tribunal Supremo y argumenta que las sentencias de contraste del Tribunal de Justicia de la Unión Europea, sobre la base de las cuales el Tribunal Supremo acuerda inaplicar una ley nacional por contravenir una Directiva europea, fueron dictadas en supuestos sustancialmente idénticos al enjuiciado por el Tribunal Supremo. La vulneración pretendida por el abogado del Estado no es tal desde el momento en que el Tribunal Supremo otorgó plazo a las partes en sede del recurso contencioso-administrativo núm. 960-2014 para que manifestasen lo pertinente al respecto de la sentencia del Tribunal de Justicia de la Unión Europea de fecha 7 de septiembre de 2016 (asunto C-121/15), caso Anode. Finalmente, expone detalladamente la metodología empleada para la financiación del bono social y defiende la identidad material de la misma y la que dio lugar al el conflicto resuelto mediante la sentencia del Tribunal de Justicia de 7 de septiembre de 2016 en torno a la posibilidad de imponer obligaciones de servicio público y la protección de los colectivos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19 de diciembre de 2018 el ministerio fiscal presentó su escrito de alegaciones en el que termina solicitando que se 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el fiscal ante el Tribunal Constitucional lo que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explica el mecanismo del bono social que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el régimen de financiación del bono social. Esas disposiciones, recuerda el ministerio público,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advierte de que la sentencia del Tribunal Supremo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del Tratado de funcionamiento de la Unión Europea.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de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de Derechos Humanos, que los órganos judiciales nacionales deben justificar, de acuerdo con la doctrina del Tribunal de Justicia de la Unión Europea, los supuestos por los que deciden no plantear cuestión prejudicial y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las sentencias a las que se remite la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sentencia del Tribunal de Justicia de la Unión Europea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sentencia del Tribunal de Justicia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pues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de la Unión Europea que se pronuncian sobre la interpretación de las directivas relativas al mercado del gas —y no sobre las del mercado de la electricidad— y además se refieren a otro tipo de obligaciones de servicio público distintas del bono social. La sentencia del caso Anode versa sobre un supuesto en el que la norma legal controvertida impone a determinadas empresas suministradoras de gas un precio regulado a clientes finales, a fin de garantizar el suministro y la cohesión territorial y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no se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energía); y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reitera que el tribunal a quo no ha apreciado correctamente la doctrina del “acto aclarado”, ya que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También incide a favor de esas dudas la existencia de un voto particular en las sentencias dictadas por la Sección Tercera de la Sala de lo Contencioso-Administrativo del Tribunal Supremo en las que se basa la sentencia impugnada en esta sede y el dictamen del Consejo de Estado relativo al proyecto de orden por el que se desarrolla la metodología para la fijación de los porcentajes de reparto de las cantidades a financiar respecto del bono social, que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interesando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2019, se señaló para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dictada el día 12 de diciembre de 2017 por la Sección Tercera de la Sala de lo Contencioso-Administrativo del Tribunal Supremo en el recurso de casación núm. 3864-2015, así como el auto de 2 de febrero de 2018, del mismo órgano judicial, por el que se desestima el incidente de nulidad de actuaciones promovido frente a aquella. Para la administración demandante, que actúa representada por el abogado del Estado, se han vulnerado los apartados 1 y 2 del artículo 24 CE; es decir, el derecho a la tutela judicial efectiva sin indefensión y el derecho a un proceso con todas las garantías, pues el órgano judicial ha inaplicado el artículo 45.4 LSE entonces en vigor, que establece el régimen de financiación del bono social eléctrico, al considerar que es incompatible con el artículo 3.2 de la Directiva 2009/72/CE; y ha adoptado esa decisión sin previamente plantear cuestión prejudicial ante el Tribunal de Justicia de la Unión Europea, ofreciendo una motivación manifiestamente insuficiente para justificar ese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Cooperativa Eléctrica Benéfica San Francisco de Asís, cooperativa valenciana, entidad recurrente en el proceso contencioso-administrativo de origen, ha interesado la inadmisión del presente recurso de amparo por insuficiente justificación en la demanda de especial trascendencia constitucional del mismo e interesa la desestimación del recurso al considerar, por lo que se refiere al fondo del asunto, que la resolución del Tribunal Supremo está suficientemente motivada y resulta conforme a la doctrina del “acto aclarado”, que permite desplazar la aplicación de la norma legal interna sin necesidad de plantear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relatado en los antecedentes, interesa la estimación del recurso de amparo, al considerar que se han vulnerado los derechos fundamentales de la demandante a la tutela judicial efectiva sin indefensión y al proceso debido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Similitud del objeto del presente recurso con el resuelto en la STC 37/2019,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se asemejan a los que ya han sido abordados en nuestra reciente STC 37/2019, de 26 de marzo (recurso de amparo núm. 593-2017).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judicial ahora impugnada (sentencia de 12 de diciembre de 2017 recaída en el recurso de casación núm. 3864-2015) procede del mismo órgano judicial (Sección 3ª de la Sala de lo Contencioso-Administrativo del Tribunal Supremo) y declara, en este caso, la nulidad de la Orden IET/350/2014, de 7 marzo, por la que se fijan los porcentajes de reparto de las cantidades a financiar relativas al bono social correspondientes a 2014, también a instancia de una compañía eléctrica, con fundamento en la inaplicación, por contradicción con lo dispuesto en el art. 3.2 de la Directiva 2009/72/CE, del Parlamento y del Consejo, del art. 45.4 LSE, norma legal en que aquella orden tenía su sustento antes de su desarrollo reglamentario por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la sentencia ahora impugnada se limita a efectuar una remisión a las sentencias de la misma Sala de 24 de octubre de 2016 (recursos contencioso administrativo núm. 960-2014 y 961-2014), 25 de octubre de 2016 (recurso núm. 16-2015) y 2 de noviembre de 2016 (recurso núm. 11-2015), en las que se declara inaplicable el régimen de financiación del bono social establecido en el artículo 45.4 de la Ley 24/2013, de 26 de diciembre,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 y a lo declarado en los autos recaídos en los incidentes promovidos para su ejecución. Reproduce el auto 18 de septiembre de 2017 dictado en ese mismo recurso. La sentencia de 24 de octubre de 2016, dictada en el recurso contencioso-administrativo núm. 960-2014, fue objeto de análisis en la STC 37/2019, de 26 de marzo, sobre la incompatibilidad del régimen jurídico de financiación del bono social con lo dispuesto en el art. 3.2 de la Directiva 2009/72/CE, en relación con las obligaciones de servicio público y sobre la improcedencia del planteamiento de la cuestión prejudicial con base en la doctrina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presentada por la Administración General del Estado en el presente recurso se corresponde íntegramente con la que ya formuló aquélla en el recurso de amparo núm. 593-2017, que concluyó con la citada STC 37/2019 y las alegaciones formuladas por las partes en el presente recurso de amparo también resultan coincidentes, de modo parcial en lo que se refiere a los óbices procesales e íntegramente respecto del tema de fondo, con las que fueron realizadas en recurso de amparo núm. 593-2017.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homogeneidad del presente recurso de amparo con el resuelto en la reciente STC 37/2019 permite abordar las diversas cuestiones procesales y sustantivas suscitadas por las partes con remisión expresa y puntual a lo ya dicho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índole procesal, la entidad codemandada considera que procede la inadmisión del recurso de amparo por insuficiente justificación de la especial trascendencia constitucional, requisito procesal insubsanable de la demanda de amaro ex art. 49.1 LOTC y, subsidiariamente, por falta de la especial trascendencia constitucional que exige el art. 50.1 b) LOTC. Agrega que también procede su inadmisión por inexistencia de vulneración de un derecho fundamental tutelable en amparo, lo que constituye el tema de fondo del recurso, al que se dedicarán los fundamentos jurídicos que siguen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al cumplimiento de la carga de realizar en la demanda la justificación de la especial trascendencia constitucional del recurso, en la STC 37/2019 FJ 3, b), hemos recordado que este Tribunal ha distinguido entre la justificación de la especial trascendencia constitucional, como requisito procesal que debe cumplir toda demanda (art. 49.1 LOTC), y la existencia misma de la especial trascendencia constitucional, cuya apreciación corresponde al Tribunal. Respecto del requisito procesal, reiteradamente hemos señalado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77/2016, de 25 de abril, FJ 2). Dicho requisito no se satisface con una “simple o abstracta mención” de la especial trascendencia constitucional [entre otras muchas, SSTC 178/2012, de 15 de octubre, FJ 2 b): 2/2013, de 14 de enero, FJ 3, y 32/2017, de 27 de febrero, FJ 2]. Sin embargo, lo exigido al recurrente no es el acierto sino un esfuerzo argumental tendente a disociar los argumentos dirigidos a evidenciar la existencia de la lesión del derecho fundamental de los razonamientos específicamente dirigidos a justificar que el recurso presenta especial trascendencia constitucional (SSTC 1/2015, de 19 de enero, FJ 2, 23/2015, de 16 de febrero, FJ 2, y 32/2017,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este óbice ha de ser desestimado. Como se ha explicado en los antecedentes, la demanda contiene un apartado relativo a la especial trascendencia constitucional del recurso. En dicho apartado se sostiene que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ante el Tribunal de Justicia de la Unión Europea, con base en la existencia del “acto claro” o “acto aclarado”, por la similitud que el supuesto presenta con un caso ya resuelto por el Tribunal de Justicia y poder apreciar directamente que una disposición interna con rango de ley es contraria al Derecho europeo, añadiendo que el “caso contiene elementos de novedad que permitirá ‘aclarar’ la doctrina constitucional en un punto importante [supuestos a) y b) FJ 2,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cabe concluir, con la STC 37/2019, FJ 3, b) que “la Administración ha cumplimentado adecuadamente el gravamen de justificar la especial transcendencia constitucional, ofreciendo al respecto una argumentación disociada de aquella que ofrece para explicar las lesiones que denuncia. Además, esa justificación se anuda a una temática que no es ajena al cometido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alegación de falta de especial transcendencia constitucional del recurso, el órgano judicial ha fundamentado su decisión en el contenido de una o varias sentencias del referido Tribunal de Justicia que, aun cuando este las considera constitutivas de un ‘acto aclarado’, sin embargo no se refieren específicamente a la ley inaplicada. A lo dicho añadimos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(STC 21/2015, de 16 de febrero, FJ 2)” por lo que también resulta rechazable tal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Fondo del asunto: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dar por reproducida la exposición doctrinal contenida en nuestra reciente STC 37/2019, de 26 de marzo, FJ 4, en relación con el planteamiento de la cuestión prejudicial, concluyendo nuestra doctrina de manera sintética,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ésta o no rango de ley) sin plantear cuestión prejudicial ante el Tribunal de Justicia de la Unión Europea, cuando exista una “duda objetiva, clara y terminante” sobre esa supuesta contradicción [SSTC 58/2004, FFJJ 9 a 14; 232/2015, FJ 5.a)].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13-14); b) Resulta igualmente contrario al derecho a un proceso con todas las garantías (art. 24.2 CE), por alteración del sistema de fuentes: inaplicar una norma interna sin plantear cuestión prejudicial ante el TJUE cuando se fundamente dicha decisión en la doctrina del “acto aclarado”, en los casos en que tal doctrina no puede ser invocada; es decir, cuando no sea posible afirmar que “la cuestión planteada es materialmente idéntica a una que ya fue objeto anteriormente de una decisión con carácter prejudicial en un asunto análogo” (STJUE de 6 de octubre de 1982, asunto 283/81, Cilfit, apartado 13) como, por ejemplo, se examinó en la ya citada STC 194/2006; 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5.b), con cita de las anteriores SSTC 27/2013, de 11 de febrero, FJ 7; 212/2014, de 18 de diciembre, FJ 3, y 99/2015, de 25 de mayo, FJ 3]; 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las anterior STC 145/2012, de 2 de julio, FFJJ 5 y 6], En igual sentido, SSTC 148/2016, de 19 de septiembre, FJ 5.b);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remitirnos al análisis efectuado en el fundamento jurídico 5 de nuestra STC 37/2019, en relación con la normativa interna (art. 45.4 LSE) y de la Unión Europea (art. 3.2 de la Directiva 2009/72/CE) que la Sala Tercera del Tribunal Supremo ha tenido en cuenta para dirimir el litigio, así como la doctrina sobre “el acto aclarado” elaborada por el Tribunal de Justicia de la Unión Europea (STJUE de 6 de octubre de 1982, asunto 283/1981, Cilfit). Este análisis permite constatar que “en la argumentación dada por la Sala Tercera del Tribunal Supremo se reflejan las razones por las que se estima que el régimen jurídico de financiación del bono social es incompatible con lo dispuesto en el art. 3.2 de la Directiva 2009/72/CE, en relación con las obligaciones de servicio público. Ahora bien, como el órgano judicial afirma que, para dirimir las eventuales contradicciones entre la normativa interna y el Derecho de la Unión Europea debe acudirse, con carácter general, al mecanismo de la cuestión prejudicial, regulado en el art. 267 Tratado de funcionamiento de la Unión Europea; pero en el presente caso se consideró dispensado de plantearla con base en la doctrina del “acto aclarado”, la referida fundamentación jurídica también debería haber incluido una explicación sobre los concretos motivos por los que se considera que concurre el referido “acto aclarado”. Por ello, al no haberse argumentado en el sentido expuesto, cabe afirmar que el órgano judicial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a quo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 y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en los fundamentos jurídicos anteriores conducen a la conclusión que debe ser estimada la queja relativa a la vulneración del derecho a un proceso con todas las garantías (art. 24.2 CE), en consideración a lo ya apreciado en nuestra STC 37/2019 en relación con la decisión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al fundamento jurídico 6 de nuestra STC 37/2019, de 26 de marzo, hemos de reconocer también en este caso la vulneración del derecho a un proceso con todas las garantías (art. 24.2 CE), que ha sido denunciada por la parte recurrente, toda vez que el órgano judicial ha inaplicado la normativa nacional por considerarla incompatible con el art. 3.2 de la Directiva 2009/72/CE, sin previamente haber recabado un pronunciamiento prejudicial del Tribunal de Justicia de la Unión Europea. Ello ha dado lugar a una preterición del sistema de fuentes y a la vulneración del derecho fundamental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vulneración anteriormente indicada, la insuficiente motivación acerca de las razones por las que se aprecia la concurrencia del “acto aclarado”, dato este en el que la demandante funda la vulneración del derecho a la tutela judicial sin indefensión, carece ya de virtualidad, como queja de lesión autónoma, al haberse reconocido, por las razones expuestas, que el tribunal a quo no estaba exonerado de plantear la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LOTC, el reconocimiento del derecho fundamental vulnerado, la declaración de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Sección Tercera de la Sala de lo Contencioso-Administrativo del Tribunal Supremo de 12 de diciembre de 2017, recaída en el recurso de casación núm. 3864-2015, y el auto de 2 de febrero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la sentencia, para que el indicado órgano judicial dicte nueva resolución que sea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la Sala Primera de 6 de mayo de 2019 dictada en el recurso de amparo núm. 1541-2018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1541-2018.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mayo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