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magistrados don Juan José González Rivas, presidente,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1543-2018, interpuesto por la Administración General del Estado contra la sentencia dictada por la Sección Tercera de la Sala de lo Contencioso-Administrativo del Tribunal Supremo el 30 de noviembre de 2017 en el recurso de casación núm. 3127-2015 y contra el auto de 1 de febrero de 2018, de la misma sala y sección, que desestimó el incidente de nulidad de actuaciones promovido por la recurrente frente a dicha sentencia. Ha intervenido el ministerio fiscal. Ha comparecido la entidad mercantil Estabanell y Pahisa, S.A., representada por la procuradora de los tribunales doña Cecilia Díaz-Caneja Rodríguez y asistida por la letrada doña Irene Bartol Mir.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marzo de 2018, la Administración General del Estado,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mercantil Estabanell y Pahisa, S.A., interpuso recurso contencioso-administrativo contra la Orden IET/350/2014, de 7 de marzo, por la que se fijan los porcentajes de reparto de las cantidades a financiar relativas al bono social correspondientes a 2014. En su demanda, la sociedad mercantil argumentó que esta orden ministerial era contraria a Derecho, pues entendía que el precepto legal del que trae causa, el art. 45.4 de la Ley 24/2013, de 26 de diciembre, del sector eléctrico (en adelante, LSE), en la redacción entonces vigente, infringía el Derecho de la Unión Europea, en particular lo dispuesto en el art. 3 de la Directiva 2009/72/CE, del Parlamento Europeo y del Consejo, de 13 de julio de 2009, sobre normas para el mercado interior de la electricidad (en adelante, Directiva 2009/72/CE). También alegaba que el art. 45.4 LSE y la Orden IET/350/2014 vulneran los arts. 9.3, 14, 39 y 41 CE. Por todo ello interesaba que se declarase la inaplicabilidad del art. 45.4 LSE y de la Orden IET/350/2014, así como la nulidad de esta y le fueran reintegradas las cantidades abonadas en concepto de bono social, con los intereses legales correspondientes. Mediante otrosí solicitó que, si lo estimaba necesario el órgano judicial, plantease cuestión prejudicial ante el Tribunal de Justicia de la Unión Europea y, en su caso,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contencioso-administrativo fue desestimado por sentencia de la Sección Cuarta de la Sala de lo Contencioso-Administrativo de la Audiencia Nacional de 8 de julio de 2015 (procedimiento ordinario núm. 187-2014).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la entidad Estabanell y Pahisa, S.A., interpuso recurso de casación (núm. 3127-2015), que fue estimado por sentencia de la Sección Tercera de la Sala de lo Contencioso-Administrativo del Tribunal Supremo de 30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casa y anula la sentencia de instancia y estima el recurso contencioso-administrativo, en aplicación de los pronunciamientos contenidos en sus sentencias de 24 de octubre de 2016 (dos, recaídas en los recursos contencioso-administrativos núms. 960-2014 y 961-2014), 25 de octubre de 2016 (recurso núm. 16-2015) y 2 de noviembre de 2016 (recurso núm. 11-2015), a las que se remite, que declaran inaplicable el art. 45.4 LSE, del que trae causa la orden impugnada, por resultar incompatible con la Directiva 2009/72/CE, y declaran también inaplicables y nulos los arts. 2 y 3 del Real Decreto 968/2014, de 21 de noviembre, que desarrollan lo dispuesto en el citado art. 45.4 LSE. En consecuencia, la sentencia del Tribunal Supremo declara nula la Orden IET/350/2014 y reconoce el derecho de Estabanell y Pahisa, S.A., a ser indemnizada por las cantidades abonadas en concepto de bono social en aplicación de la orden anulada, de manera que se reintegren a la demandante todas las cantidades que haya abonado por ese concepto correspondientes a 2014, más los intereses legales correspondientes computados desde fecha en que se hizo el pago hasta la fecha de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el 4 de enero de 2018, la administración promovió incidente de nulidad de actuaciones contra la sentencia, en el cual denunció las siguientes vulneraciones: i) de los derechos a la tutela judicial efectiva (art. 24.1 CE) y a un proceso con todas las garantías (art. 24.2 CE), por haber sido inaplicada una norma con rango de ley sin promover cuestión de inconstitucionalidad; ii) de los mismos derechos fundamentales por no haber planteado cuestión prejudicial ante el Tribunal de Justicia de la Unión Europea y iii) del derecho a la tutela judicial efectiva por incongruencia omisiva, ya que, al entender de la administración, la sala no se pronunció sobre algunas cuestiones esenciales para enjuiciar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la administración desarrolla una extensa argumentación a fin de explicar cuáles son los requisitos del “acto aclarado” según doctrina del Tribunal de Justicia de la Unión Europea, y de exponer las razones por las que, de acuerdo a esa doctrina, considera que los supuestos que el Tribunal Supremo (por remisión a sus sentencias de 24 y 25 de octubre de 2016 y de 2 de noviembre de 2016) toma como referentes como “acto aclarado”, que le dispensa de plantear la referida cuestión prejudicial, no pueden ser tenidos en cuenta a estos efectos, dadas las disimilitudes entre dichos supuestos y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desestimado por auto de 1 de febrero de 2018. La sala argumenta que los motivos de nulidad que se aducen en este caso coinciden con los esgrimidos por la abogacía del Estado en el incidente de nulidad que promovió en su día contra la sentencia de la misma sala de 4 de diciembre de 2017 (recurso de casación núm. 3875-2015), sobre el mismo objeto, y que fue desestimado por auto de 24 de enero de 2018, a cuyas consideraciones se remite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del que trae causa la Orden IET/350/2014,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y señalar que el presente recurso de amparo mantiene su objeto pese a la derogación expresa del precepto legal en el que fundaba su posición la administración, esta justifica la especial trascendencia constitucional del recurso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Esa temática ostenta una clara relevancia pues, conforme se afirma en la STC 232/2015, dejar de aplicar una ley interna sin previamente plantear cuestión prejudicial,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el abogado del Estado que lo que debe resolverse en este proceso constitucional no atañe al eventual acierto del Tribunal Supremo al resolver el litigio, sino a delimitar el margen de interpretación del que disponen los órganos judiciales para inaplicar una norma interna con rango de ley, por considerarla contraria al Derecho europeo, sin plantear previamente cuestión prejudicial ante el Tribunal de Justicia de la Unión Europea. Lo novedoso del caso reside en que, por considerar aplicable al presente supuesto la doctrina del “acto aclarado”, la sentencia impugnada ha inaplicado una norma con rango de ley, de manera que el Tribunal Supremo se ha convertido en “legislador negativo”, de modo que sus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constitucionales alegadas, en primer lugar sintetiza las razones dadas por el Tribunal Supremo (en las sentencias de 24 y 25 de octubre de 2016 y de 2 de noviembre de 2016, a las que se remite la sentencia impugnada en amparo)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cuestión prejudicial es apodíctica y, por tanto, incurre en manifiesta falta de motivación, lesiva del derecho a la tutela judicial efectiva y ello porque el Tribunal Supremo considera que los criterios de la sentencia del Tribunal de Justicia de la Unión Europea de 7 de septiembre de 2016 (asunto Anode) son trasladables al caso ahora examinado, pero no dice por qué razón ni cuáles son esos criterios que resultan aplicables al presente caso, por lo que no se acierta a ver cuál es la semejanza con los considerandos de la sentencia del Tribunal de Justicia de la Unión Europea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impugnada (por remisión a las sentencias de 24 y 25 de octubre de 2016 y de 2 de noviembre de 2016) aplica la doctrina del “acto aclarado” para justificar la falta de planteamiento de la cuestión prejudicial, pero lo hace siguiendo un criterio erróneo, pues no concurren las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El Tribunal Supremo sustenta la aplicación al caso de la doctrina del “acto aclarado” en las sentencias del Tribunal de Justicia de la Unión Europea recaídas en los asuntos Federutility y Anode, que, según su criterio, constituyen supuestos análogos que, conforme a la “doctrina Cilfit”, justifican la inaplicación del art. 45.4 LSE. Sin embargo, respecto de la sentencia de 20 de abril de 2010, asunto Federutility, estima el abogado del Estado que la discriminación a la que se refieren sus §§ 45 y 46 nada tiene que ver con el trato peyorativo apuntado por la empresa demandante en el proceso a quo, pues la supuesta discriminación que aprecia el Tribunal Supremo no trae causa de la indiferenciación (como en la sentencia del Tribunal de Justicia de la Unión Europea en el asunto Federutility),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sentencia del Tribunal de Justicia de la Unión Europea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estos se refieren a la protección de los consumidores vulnerables, aspecto este que es completamente ajeno a la determinación de los componentes del precio del gas en aquel caso. Al margen de lo expuesto, tampoco cabe entender que las consideraciones que se formulan en el §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eléctrico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la sentencia impugnada en amparo ha vulnerado los derechos garantizados por el art. 24 CE porque: i) el Tribunal Supremo ha desconocido el sistema de fuentes, al inaplicar una norma con rango de ley sin plantear previamente cuestión prejudicial ante el Tribunal de Justicia de la Unión Europea; ii) incurre en un déficit de motivación, ya que no explica suficientemente las razones por las que considera que concurre la circunstancia del “acto aclarado”, como razón que le excusa de aplicar la ley española sin plantear la cuestión prejudicial y iii) ha resuelto el proceso inmiscuyéndose en un ámbito o competencia jurisdiccional ajeno, dando lugar a que la controversia sea decidida por un juez o tribunal distinto del querido por el legislador. En consecuencia solicita que se declare nula la sentencia, así como el auto que desestima el incidente de nulidad de actuaciones y que se ordene retrotraer las actuaciones al momento inmediato anterior al pronunciamiento de la sentencia, para que el Tribunal Supremo plantee la cuestión prejudicial de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2018, la Sección Segunda de este Tribunal acordó admitir el presente recurso a trámite apreciando que concurre especial transcendencia constitucional (art. 50.1 de la Ley Orgánica del Tribunal Constitucional: LOTC), porque plantea un problema o una faceta de un derecho fundamental sobre el que no hay doctrina de este Tribunal [STC 155/2009, FJ 2 a)]. Acordó también, en aplicación de lo dispuesto en el art. 51 LOTC, dirigir atenta comunicación a la Sección Tercera de la Sala de lo Contencioso-Administrativo del Tribunal Supremo, a fin de que, en plazo que no excediera de diez días, remitiera certificación o fotocopia adverada de las actuaciones correspondientes al recurso de casación núm. 3127-2015; así como a la Sección Cuarta de la Sala de lo Contencioso-Administrativo de la Audiencia Nacional, para que en el mismo plazo, remitiese certificación o fotocopia adverada de las actuaciones correspondientes al procedimiento ordinario núm. 187-2014, y emplazase a quienes hubieran sido parte en el mismo, para que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septiembre de 2018, la procuradora de los tribunales doña Cecilia Díaz-Caneja Rodríguez, en representación de Estabanell y Pahisa, S.A., interesó que se la tuviera por personada y parte en el presente recurso de amparo. Con fecha 19 de septiembre de 2018 presentó nuevo escrito en el que manifiesta que la asistencia letrada corresponde a la abogada doña Irene Bartol 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27 de septiembre de 2018, la secretaría de justicia de la Sala Primera tuvo por personadas y partes en el presente recurso de amparo a la referida sociedad mercantil, representada y asistida por los profesionales indicados. Asimismo, de conformidad con lo dispuesto en el art. 52.1 LOTC,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Estabanell y Pahisa, S.A., presentó su escrito de alegaciones el 31 de octubre de 2018, en el que interesa la inadmisión del recurso de amparo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en primer lugar, como óbice a la admisibilidad del recurso, la insuficiente justificación de la especial trascendencia constitucional del mismo, pues la administración se limita a reiterar los argumentos sobre la pretendida lesión de derechos garantizados por el art. 24 CE. Además, no es cierto que no exista doctrina constitucional acerca de los supuestos de exoneración del planteamiento de la cuestión prejudicial ante el Tribunal de Justicia de la Unión Europea, pues el Tribunal Constitucional ya ha tenido ocasión de pronunciarse al respecto (en SSTC 78/2010, de 20 de octubre, 145/2012, de 2 de julio, y 232/2015, de 5 de noviembre, entre otras). Conforme a esa doctrina, a la que se acoge el Tribunal Supremo, los jueces nacionales, al enfrentarse con una norma interna incompatible con el Derecho de la Unión Europea, tienen la obligación de inaplicar la disposición nacional, con independencia del rango de esta, en virtud del principio de primacía del Derecho europeo. Esa inaplicación de la norma nacional se producirá sin necesidad de plantear cuestión prejudicial, conforme a la doctrina del Tribunal de Justicia de la Unión Europea cuando la correcta aplicación de la norma europea pueda imponerse con tal evidencia que no deje lugar a ninguna duda razonable sobre la solución de la cuestión, o cuando la cuestión suscitada fuese materialmente idéntica a otra que haya sido objeto de una decisión prejudicial en un caso análogo (doctrina del “acto claro” y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alega que la sentencia impugnada no ha vulnerado ningún derecho reconocido en el art. 24 CE. A este respecto, sostiene que el Tribunal Supremo resolvió el litigio de manera suficientemente motivada y razonable, sustentando su decisión de inaplicar directamente el art. 45.4 LSE (del que es desarrollo la Orden IET/350/2014), por resultar incompatible con el art. 3.2 de la Directiva 2009/72/CE, sin plantear la cuestión prejudicial, en la doctrina del “acto aclarado”, a la vista de la jurisprudencia sentada por el Tribunal de Justicia de la Unión Europea en los asuntos Federutility y Anode (sentencias de 20 de abril de 2010 y de 7 de septiembre de 2016), y con estricto acatamiento de la doctrina constitucional. Todo ello permite concluir que la decisión adoptada por el Tribunal Supremo de inaplicar la norma interna sin plantear cuestión prejudicial es fruto de una exégesis racional de la legalidad ordinaria, que excluye, por tanto, la pretendida vulneración de los derechos que alega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en este Tribunal el 7 de noviembre de 2018. Tras referirse a los antecedentes del caso, señala que el presente recurso de amparo es similar a otros sobre el mismo asunto interpuestos por la Administración General del Estado, en relación con el régimen de financiación del bono social eléctrico, contra sentencias de la Sala de lo Contencioso-Administrativo del Tribunal Supremo que declaran inaplicable el art. 45.4 LSE (así como la normativa reglamentaria que lo desarrolla), por considerarlo incompatible con el art. 3.2 de la Directiva 2009/72/CE, sin plantear cuestión prejudicial ante el Tribunal de Justicia de la Unión Europea. La administración aduce en todos los casos la vulneración de los derechos a la tutela judicial efectiva sin indefensión (art. 24.1 CE) y a un proceso con todas las garantías (art. 24.2 CE). Reproduce por ello el ministerio fiscal las alegaciones formulados en esos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no puede negársele a la administración legitimación para recurrir en amparo, desde la perspectiva de las garantías procesales inherentes a los derechos del art. 24 CE, que le son reconocidas a la administración como parte en los procesos judiciales (STC 58/2004, de 19 de abril, FJ 5). Descarta asimismo que la derogación expresa del precepto legal en el que fundaba su posición la administración haga perder su objeto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también los antecedentes legislativos y la finalidad del bono social, que opera como una medida de protección de los consumidores de energía vulnerables y responde a las previsiones del art. 3.7 de la Directiva 2009/72/CE. El régimen de financiación del bono social en la legislación precedente (Real Decreto-ley 6/2009) fue enjuiciado en la sentencia de la Sala de lo Contencioso-Administrativo del Tribunal Supremo de 7 de febrero de 2012, que consideró que ese régimen de financiación no cumplía las exigencias de transparencia, no discriminación, control y proporcionalidad exigidas por la Directiva 2003/54/CE (luego reemplazada por la citada directiva 2009/72/CE). Por ello, el Tribunal Supremo resolvió la inaplicación de las disposiciones pertinentes de aquella regulación sin plantear cuestión prejudicial ante el Tribunal de Justicia de la Unión Europea, por considerar que el sentido de la directiva ya había sido aclarado en la sentencia de dicho tribunal de 20 de abril de 2010, dictada en el asunto Federutility.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referida sentencia del Tribunal Supremo de 7 de febrero de 2012 se procedió a regular de nuevo el bono social eléctrico por el art. 8 del Real Decreto-ley 9/2013, precedente inmediato del art. 45.4 LSE (Ley 24/2013), que la sentencia impugnada en el presente recurso de amparo inaplica. Esta disposición (más tarde modificada por el Real Decreto-ley 7/2016) se correspondía con las previsiones del Real Decreto-ley 6/2009, pues establecía que el bono social fuera asumido por las matrices de los grupos de sociedades o, en su caso, por las sociedades que desarrollasen simultáneamente las actividades de producción, distribución y comercialización de energía eléctrica. El régimen de financiación del bono social previsto por el art. 45.4 LSE y desarrollado por el Real Decreto 968/2014, así como por la Orden IET/350/2014, que fija los porcentajes de reparto de las cantidades a financiar correspondientes a 2014, es declarado inaplicable por la sentencia impugnada en amparo, al estimar el Tribunal Supremo que se opone a lo establecido en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 sentencia impugnada vulnera los derechos de la administración a la tutela judicial efectiva sin indefensión y a un proceso con todas las garantías, por inaplicar el art. 45.4 LSE (que la Orden IET/350/2014 desarrolla) sin plantear previamente la cuestión prejudicial ante el Tribunal de Justicia de la Unión Europea, es necesario examinar las razones en las que el Tribunal Supremo fundamenta esa decisión, por remisión a sus anteriores pronunciamientos, contenidos en sus sentencias de 24 de octubre de 2016 (dos), 25 de octubre de 2016 y 2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con lo preceptuado en el art. 267 Tratado de funcionamiento de la Unión Europea. Ahora bien, esto no significa que las decisiones judiciales sobre ese particular estén exentas de cualquier control de constitucionalidad, sino que, por el contrario, están sujetas al canon de control propio de cualquier resolución judicial. Además, debe tenerse en cuenta el especial control de constitucionalidad que procede efectuar respecto de aquellas resoluciones judiciales que no aplican una norma legal interna, por su apreciada contradicción con el Derecho de la Unión Europea. Afirma que en estos casos —y no en los que el órgano judicial aplica la norma interna sin plantear cuestión prejudicial ante el Tribunal de Justicia de la Unión Europea, por estimarla conforme con el Derecho de la Unión Europea (STC 27/2013)— se pueden lesionar los derechos a la tutela judicial efectiva y a un proceso con todas las garantías, siempre que exista una duda objetiva, clara y terminante sobre esa supuesta contradicción (SSTC 58/2004, FFJJ 9 a 14, y 232/2015, FJ 5). Para enjuiciar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FJ 2). En la misma línea el Tribunal Europeo de Derechos Humanos, en su sentencia de 8 de abril de 2014, caso Dhabi contra Italia, también pone de manifiesto, en relación con el derecho al proceso debido (art 6.1 del Convenio Europeo de Derechos Humanos), que los órganos judiciales nacionales deben justificar, de acuerdo con la doctrina del Tribunal de Justicia de la Unión Europea, las razones por las que deciden no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sentada por el Tribunal de Justicia de la Unión Europea en la sentencia del asunto Cilfit sobre los supuestos de dispensa del planteamiento de la cuestión prejudicial, el fiscal examina los razonamientos de la sentencia impugnada (por remisión a las precedentes citadas) para no plantear la cuestión prejudicial. Sobre este particular pone de relieve que, en el fundamento jurídico 8 de las sentencias a las que se remite la impugnada, se afirma que en la de 7 de febrero de 2012 el Tribunal Supremo resolvió que no era necesario plantear la cuestión respecto de la correcta aplicación del art. 3.2 de la Directiva 2003/54/CE porque ya existía una decisión prejudicial al respecto, concretamente la sentencia de 20 de abril 2010, recaída en el asunto Federutility, que aquella resolución consideró como “acto aclarado”. En relación con el presente supuesto, el Tribunal Supremo también considera que existen decisiones prejudiciales del Tribunal de Justicia de la Unión Europea en casos análogos; en concreto, la ya citada sentencia de 20 de abril de 2010 (asunto Federutility) y la de 7 de septiembre de 2016, recaída en el asunto Anode. En relación con esta última, el Tribunal Supremo aprecia que las consideraciones que en ella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eléctrico que establece el art. 45.4 LSE; con fundamento en ello entiende que este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como la administración recurrente, que el Tribunal Supremo no ha justificado realmente que concurra un supuesto de “acto aclarado”. Se ha limitado a expresar una declaración de voluntad, que es la de estimar que la decisiones del Tribunal de Justicia de la Unión Europea en esas sentencias son plenamente trasladables a la controversia suscitada sobre la nueva regulación del régimen de financiación del bono social, pero no ofrece ninguna explicación sobre cuáles son los criterios que le permiten considerar que pueden ser aplicables, para resolver esa controversia, unas decisiones prejudiciales del Tribunal de Justicia de la Unión Europea que se pronuncian sobre la interpretación de las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fiscal entiende que el Tribunal Supremo no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electricidad). Además, la norma allí considerada por el Tribunal de Justicia de la Unión Europea imponía un precio regulado a determinadas suministradoras de gas, a fin de garantizar el suministro y la cohesión social, mientras que en el proceso del que trae causa el presente recurso de amparo la norma controvertida se refiere al régimen de financiación del bono social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sentencia del Tribunal de Justicia de la Unión Europea en que se basa el Tribunal Supremo para entender que puede inaplicar la ley interna sin plantear cuestión prejudicial, no puede considerarse como una decisión prejudicial materialmente idéntica en un asunto análogo, que permita conocer de manera evidente y sin ninguna duda objetiva razonable cuál es la correcta aplicación de la norma europea en el caso controvertido. Por el contrario, que existen esas dudas lo corroboran el voto particular a la sentencias a las que se remite la impugnada y el dictamen del Consejo de Estado relativo al proyecto de orden por el que se desarrolla la metodología para la fijación de los porcentajes de reparto de las cantidades a financiar respecto del bono social, en el que se sostiene que ese régimen de financiación satisface los requisitos impuestos por la normativa europea. No procede pues apreciar que concurre un supuesto de “acto aclarado”. Además, los supuestos de dispensa del planteamiento de la cuestión prejudicial deben ser objeto de interpretación estricta, tal y como pone de relieve la sentencia del caso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ministerio fiscal estima vulnerados los derechos de la Administración a la tutela judicial efectiva sin indefensión y a un proceso con todas las garantías (art. 24.1 y 2 CE), pues la Sala de lo Contencioso-Administrativo del Tribunal Supremo ha incurrido en un exceso de jurisdicción, al pronunciarse sobre la incompatibilidad de la norma legal con el Derecho europeo al margen del proceso debido, vulnerando el sistema de fuentes, al inaplicar directamente la norma legal vigente y eludir el mecanismo de control correspondiente. Por ello interesa que se estime el recurso de amparo, declarando la nulidad de las resoluciones judiciales impugnadas y ordenando la retroacción de actuaciones, al objeto de que la Sala de lo Contencioso-Administrativo del Tribunal Supremo dicte nueva sentencia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16 de mayo de 2019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dictada el 30 de noviembre de 2017 por la Sección Tercera de la Sala de lo Contencioso-Administrativo del Tribunal Supremo en el recurso de casación núm. 3127-2015, así como el auto de 1 de febrero de 2018, por el que se desestima el incidente de nulidad de actuaciones. Para la administración demandante, que actúa representada por el abogado del Estado, se han vulnerado los derechos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Tribunal Supremo ha inaplicado el art. 45.4 de la Ley del sector eléctrico (LSE) entonces en vigor, que establecería el régimen de financiación del bono social eléctrico, desarrollado por la Orden IET/350/2014, de 7 de marzo, por la que se fijan los porcentajes de reparto de las cantidades a financiar relativas al bono social correspondientes a 2014, al considerar que es incompatible con el art. 3.2 de la Directiva 2009/72/CE. Ha adoptado esa decisión sin plantear previamente cuestión prejudicial ante el Tribunal de Justicia de la Unión Europea, ofreciendo una motivación (por remisión a anteriores sentencias de la propia sala) manifiestamente insuficiente para justificar ese proceder, pues entiende que resulta aplicable la doctrina sobre el “acto aclarado”, con fundamento en las sentencias recaídas en los asuntos Federutility y Anode, pero no dice cuáles son las razones por los que cabe apreciarla. Además, ha aplicado inadecuadamente la doctrina del Tribunal de Justicia de la Unión Europea sobre el “acto aclarado”, que permite preterir una norma estatal por incompatibilidad con el Derecho de la Unión Europea sin plantear cuestión prejudicial. Esa errónea apreciación se produce porque no hay identidad material, ni tampoco analogía, entre los casos resueltos por el Tribunal de Justicia de la Unión Europea y el que se enjuicia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Estabanell y Pahisa, S.A., ha solicitado la inadmisión del recurso de amparo por entender que la administración no ha justificado suficientemente la especial transcendencia constitucional. De modo subsidiario, solicita la desestimación del recurso por considerar que la sentencia del Tribunal Supremo no ha vulnerado los derechos de la administración a la tutela judicial efectiva y al proceso con todas las garantías. Todo ello de conformidad con los argumentos que se exponen de modo detallado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razonamientos que asimismo han quedado relatados en los antecedentes, interesa la estimación del recurso de amparo, al considerar que se han vulnerado los derechos fundamentales de la Administración demandante a la tutela judicial efectiva sin indefensión y al proceso debido (art. 24.1 y 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Coincidencia del objeto del presente recurso con el resuelto en la STC 37/2019,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de las partes son coincidentes con los que ya han sido abordados en nuestra reciente STC 37/2019, de 26 de marzo (publicada en el “Boletín Oficial del Estado” núm. 99, de 25 de abril).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ahora impugnada ha sido dictada por el mismo órgano judicial (Sección Tercera de la Sala de lo Contencioso-Administrativo del Tribunal Supremo) y también declara (a instancia de una compañía eléctrica distinta) la inaplicación, por contradicción con lo dispuesto en el art. 3.2 de la Directiva 2009/72/CE, del Parlamento europeo y del Consejo de Europa, del art. 45.4 LSE, utilizando, para llegar a esa conclusión, la doctrina del “acto aclarado”, en relación con las sentencias del Tribunal de Justicia de la Unión Europea de 20 de abril de 2010 (asunto C-265/208,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la sentencia ahora impugnada reproduce, además, la contenida en la sentencia de 24 de octubre de 2016, del mismo órgano judicial, a la que se remite, que fue objeto de análisis en la citada STC 37/2019.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ante la misma argumentación que ya examinamos en la STC 37/2019 sobre la incompatibilidad del régimen jurídico de financiación del bono social con lo dispuesto en el art. 3.2 de la Directiva 2009/72/CE, en relación con las obligaciones de servicio público, y sobre la improcedencia del planteamiento de la cuestión prejudicial ante el Tribunal de Justicia de la Unión Europea, con fundamento en la doctrina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presentada por la Administración General del Estado en el presente recurso se corresponde íntegramente con la que formuló en el recurso de amparo estimado por la citada STC 37/2019. No se hace ninguna alegación distinta a las planteadas en aquel recurso, que fueron examinadas por este Tribunal en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las alegaciones formuladas por la entidad mercantil personada en el presente recurso de amparo también reproduce sustancialmente las que fueron realizadas en el recurso resuelto por la STC 37/2019.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abordar las diversas cuestiones procesales y sustantivas suscitadas en el presente recurso de amparo con remisión expresa a lo razonado en la STC 37/2019.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índole procesal realizadas por la entidad Estabanell y Pahisa, S.A., que podrían impedir la adopción de un pronunciamiento de fondo, hemos de señalar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explicamos en la STC 37/2019, FJ 3.b), “para la administración demandante la especial trascendencia constitucional del presente recurso reside en la oportunidad que brinda a este Tribunal de fijar el canon de control respecto del ejercicio, por parte de los órganos judiciales, de la facultad de inaplicar una ley interna por su eventual contradicción con la normativa de la Unión Europea, sin plantear previamente cuestión prejudicial. […] Lo que en esencia pone de relieve la administración es la novedad del supuesto, ya que este Tribunal no ha tenido ocasión de pronunciarse específicamente sobre el control que le corresponde ejercer, desde la perspectiva del art. 24 CE, en un caso en que la inaplicación de una norma interna con rango de ley, por su contrariedad al Derecho de la Unión Europea, deriva de la aplicación de la doctrina sobre el ‘acto aclarado’. A la vista de lo expuesto, no cabe apreciar la objeción que plantean las codemandadas. La administración ha cumplimentado adecuadamente el gravamen de justificar la especial transcendencia constitucional, ofreciendo al respecto una argumentación disociada de aquella que ofrece para explicar las lesiones que denuncia. Además, esa justificación se anuda a una temática que no es ajena al cometido de este Tribunal […]. Por otro lado, tal y como figura en el tenor de la providencia en cuya virtud acordamos su admisión a trámite, este recurso plantea un problema o faceta de un derecho fundamental sobre el que no hay doctrina de este Tribunal [STC 155/2009, FJ 2 a)], en la medida, añadimos ahora, en que permite que este Tribunal pueda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descartarse el óbice de insuficiente justificación de la especial transcendencia constitucional del recurso que esgrime la entidad Estabanell y Pahisa,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dar por reproducidos los razonamientos contenidos en nuestra STC 37/2019, FJ 4, en relación con el planteamiento de la cuestión prejudicial, concluyendo, como entonces, que nuestra doctrina puede expresarse, de manera resumida,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esta o no rango de ley) sin plantear cuestión prejudicial ante el Tribunal de Justicia de la Unión Europea, cuando exista una “duda objetiva, clara y terminante” sobre esa supuesta contradicción [SSTC 58/2004, FFJJ 9 a 14; 232/2015, FJ 5.a)]. Tal duda objetiva puede derivar: (i) del hecho de existir un criterio generalizado de los tribunales españoles acerca de la compatibilidad entre ambas normas, que el órgano judicial no desvirtúa mediante una motivación específica en la resolución impugnada en amparo; (ii) o de que, pese a haberse dictado una o más resoluciones por el Tribunal de Justicia de la Unión Europea referentes a dicha norma nacional, ninguna se ha pronunciado directamente sobre las cuestiones que ahora se suscitan; (iii) o bien de la conjunción de ambas circunstancias (STC 58/2004, FFJJ 13 y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igualmente contrario al derecho a un proceso con todas las garantías (art. 24.2 CE), por alteración del sistema de fuentes, la inaplicación de una norma interna sin plantear cuestión prejudicial cuando se fundamente esa decisión en la doctrina del “acto aclarado”, en los casos en que tal doctrina no pueda ser invocada. Es decir, cuando no sea posible afirmar que “la cuestión planteada es materialmente idéntica a una que ya fue objeto anteriormente de una decisión con carácter prejudicial en un asunto análogo” (sentencia del Tribunal de Justicia de la Unión Europea de 6 de octubre de 1982, asunto 283/81, Cilfit, apartado 13) como, por ejemplo, se examinó en la ya citada STC 194/2006,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5.b), con cita de las anteriores SSTC 27/2013, de 11 de febrero, FJ 7;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cumpliéndose con los requisitos de la doctrina del “acto aclarado”, también hemos dicho que “corresponde a este Tribunal velar por el respeto del principio de primacía del Derecho de la Unión Europea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 anterior STC 145/2012, de 2 de julio, FFJJ 5 y 6. En igual sentido, SSTC 148/2016, de 19 de septiembre, FJ 5.b);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remitirnos in toto al análisis efectuado en el fundamento jurídico 5 de nuestra STC 37/2019, en relación con la normativa interna (art. 45.4 LSE) y de la Unión Europea (art. 3.2 de la Directiva 2009/72/CE) que la Sala Tercera del Tribunal Supremo ha tenido en cuenta para dirimir el litigio, así como acerca de la doctrina sobre “el acto aclarado” elaborada por el Tribunal de Justicia de la Unión Europea (sentencia de 6 de octubre de 1982, asunto 238/1981,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en los fundamentos jurídicos anteriores, debe ser estimada la queja relativa a la alegada vulneración del derecho a un proceso con todas las garantías (art. 24.2 CE), en cuanto a la decisión del Tribunal Supremo de inaplicar la normativa nacional sin necesidad de plantear cuestión prejudicial ante el Tribunal de Justicia de la Unión Europea, en consideración a lo ya apreciado en nuestra STC 37/2019, FJ 6.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fundamentación jurídica de la sentencia impugnada debería haber incluido una explicación sobre los concretos motivos por los que se considera que concurre el referido “acto aclarado”. Al no haberse argumentado en el sentido expuesto, cabe afirmar que el Tribunal Supremo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Supremo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en el presente caso concurren los presupuestos necesarios para apreciar que la doctrina emanada de las referidas sentencias del Tribunal de Justicia de la Unión Europea constituye un “acto aclarado” respecto del problema interpretativo suscitado y, por tanto, el Tribunal Supremo no estaba dispensado de plantear cuestión prejudicial, pues “aunque el precepto interpretado por el TJUE tuviera el mismo contenido tanto en la directiva del sector eléctrico como en la relativa al sector del gas, no se trataba de las mismas directivas, ni del mismo sector ni los problemas abordados, respectivamente, por las sentencias Federutility y Anode y por la sentencia impugnada son exactamente iguales. Por ello, no puede concluirse que, mediante las referidas sentencias, el Tribunal de Justicia de la Unión Europea hubiera aclarado una cuestión idéntica y suscitada en un caso análogo al enjuiciado por el Tribunal Supremo, que son los requisitos fijados por el Tribunal de Justicia de la Unión Europea para apreciar la concurrencia del ‘acto aclarado’ y enervar la obligación que tienen los tribunales nacionales de plantear cuestión prejudicial” (STC 37/2019,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reconocer la vulneración del derecho de la administración recurrente a un proceso con todas las garantías (art. 24.2 CE), toda vez que el Tribunal Supremo ha inaplicado la normativa nacional por considerarla incompatible con el art. 3.2 de la Directiva 2009/72/CE, sin haber recabado previamente un pronunciamiento prejudicial del Tribunal de Justicia de la Unión Europea. Ello ha dado lugar a una preterición del sistema de fuentes y a la vulneración del derecho fundamental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indicada, la lesión del derecho a la tutela judicial sin indefensión, por la insuficiente motivación acerca de las razones por las que se aprecia la concurrencia del “acto aclarado”, carece de virtualidad como queja autónoma, al haberse declarado ya, según lo expuesto, que el Tribunal Supremo no quedaba exonerado de plantear la cuestión prejudicial ante el Tribunal de Justicia de la Unión Europea. Por todo ello, procede estimar el recurso de amparo, por vulneración del derecho de la administración demandante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LOTC, el reconocimiento del derecho fundamental vulnerado y la declaración de nulidad de la sentencia y del auto objeto de impugnación, con retroacción de actuaciones al momento anterior a dictarse la primera de las resoluciones,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Administración General del Estado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 30 de noviembre de 2017, de la Sección Tercera de la Sala de lo Contencioso-Administrativo del Tribunal Supremo, en el recurso de casación núm. 3127-2015, y del auto de 1 de febrero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para que el indicado órgano judicial dicte nueva resolución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la Sala Primera de 20 de mayo de 2019 dictada en el recurso de amparo núm. 1543-2018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1543-2018.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mostrando mi parecer opuesto a la legitimación de la Administración General del Estado para solicitar en amparo la protección de sus derechos fundamentales.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mayo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