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5905-2018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5905-2018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noviembre de 2018, la Junta de Extremadura, representada por la procuradora de los Tribunales doña Aurora Gómez-Villaboa Mandri y bajo la dirección de la letrada doña Ana Cristina Sánchez-Barriga Leiton, interpuso recurso de amparo contra la providencia de la Sección Primera de la Sala de lo Contencioso-Administrativo del Tribunal Superior de Justicia de Extremadura de 11 de octubre de 2018, por la que se inadmite el incidente de nulidad de actuaciones interpuesto contra el auto de 10 de septiembre de 2018, por el que se inadmite el recurso de casación autonómico núm. 3-2018, interpuesto contra la sentencia del Juzgado de lo Contencioso-Administrativo núm. 1 de Mérida de 2 de marzo de 2018, pronunciada en el procedimiento abreviado núm. 151-2017 sobre reconocimiento de complemento salarial a una empleada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que se suspenda la ejecución de la sentencia pronunciada por el Juzgado de lo Contencioso-Administrativo argumentando lo siguiente: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18 de marzo de 2019, acordó, en la primera, la admisión a trámite del presente recurso de amparo, apreciando que concurre en el mismo una especial trascendencia constitucional (art. 50.1 LOTC) porque el asunto suscitado transciende el caso concreto al plantear una cuestión jurídica de relevante y general repercusión social o económica [STC 155/2009, FJ 2 g)] y la formación de pieza separada para la sustanciación del incidente de suspensión; y, en la segunda, conceder a la parte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 de abril de 2019, presentó alegaciones interesando denegar la suspensión solicitada, ya que (i) la parte recurrente lo que está solicitando es la suspensión de efectos de la sentencia recurrida en casación y no la decisión judicial de inadmisión del recurso de casación, que es la impugnada en este recurso de amparo, lo que es determinante para su denegación (ATC 266/2005, de 20 de junio, FJ 1) y (ii) en cualquier caso, la parte recurrente no ha cumplido con la carga de justificar los eventuales prejuicios que se le irrogarían y la suspensión solicitada tiene un contenido meramente económico en tanto que se limita a reconocer el derecho a la percepción de un complemento salarial, lo que impide considerar que tenga efectos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demandante no han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Como excepción, el artículo 56.2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excepcional y de aplicación restrictiva, que deriva de la necesidad de preservar el interés general, de garantizar la efectividad de las decisiones de los poderes públicos y de asegurar la ejecución de las resoluciones dictadas por jueces y tribunales en el ejercicio de la potestad jurisdiccional que les confiere el artículo 117.3 CE (así, AATC 82/2018, de 17 de julio, FJ 1, y 98/2018, de 18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también ha reiterado que el demandante de amparo tiene la carga de acreditar el perjuicio y debe precisar los concretos detrimentos o daños que pueden derivarse de la ejecución del acto impugnado, así como justificar o argumentar razonadamente su carácter irreparable. Asimismo, es doctrina reiterada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160/2017, de 21 de noviembre, FJ 2, y 88/2018,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se ha expuesto en los antecedentes, la parte recurrente se ha limitado en su demanda a solicitar que se suspenda la ejecución de la sentencia pronunciada por el Juzgado de lo Contencioso-Administrativo argumentando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 Posteriormente, en el trámite de audiencia de este incidente de suspensión no ha presentado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razonamiento desarrollado por la parte recurrente para instar de este Tribunal la suspensión de un pronunciamiento judicial —que no es el impugnado en este recurso de amparo y al que en la demanda de amparo no se imputa directamente ninguna lesión constitucional, pues aquella no se dirige contra la sentencia de instancia, sino contra la providencia de inadmisión de la Sala de lo Contencioso-Administrativo del Tribunal Superior de Justicia— no expresa cuál es el perjuicio que se considera que irrogaría su ejecución ni tampoco, atendiendo a la circunstancia de que tiene un evidente carácter económico, su carácter irreparable. En estas condiciones este Tribunal no puede dar por cumplida la carga procesal que compete a la parte recurrente para obtener una medida provisional de carácter excepcional y de interpretación restrictiva como es la suspensión de una resolución judicial que, por otra parte, reconoce derechos de terceros. Por tanto, dado que se carece de cualquier apoyatura argumental sobre la que sustentar cualquier otra decisión, es preciso desestimar la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