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79</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julio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5551-2018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5551-2018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114-2018 seguido en el Juzgado de Primera Instancia e Instrucción núm. 3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25 de octubre de 2018, la entidad Euroinversiones Inmobiliarias Costa Sur, S.L., representada por la procuradora de los Tribunales doña Blanca Berriatua Horta y bajo la dirección del letrado don Marcelino Gilabert García, interpuso recurso de amparo contra los autos dictados por el Juzgado de Primera Instancia e Instrucción núm. 3 de Lorca en el procedimiento de ejecución hipotecaria núm. 114-2018 en fechas 28 de junio de 2018 y 14 de septiembre de 2018 por los que, respectivamente, se inadmite por extemporánea la oposición a la ejecución hipotecaria y se confirma esta última decisión al desestimarse el recurso de reposición interpuesto frente 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resolver la pretensión planteada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Juzgado de Primera Instancia e Instrucción núm. 3 de Lorca se sigue procedimiento de ejecución hipotecaria núm. 114-2018 promovido por la entidad Banco de Sabadell, S.A., frente a las sociedades Euroinversiones Inmobiliarias Costa Sur, S.L., en calidad de prestataria e hipotecante, y Penrei Inversiones, S.L., en calidad de titular registral de un derecho de uso y disfrute sobre el inmueble hipotecado.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auto de 23 de abril de 2018 se acordó despachar ejecución frente las sociedades demandadas. El citado auto y el decreto de la misma fecha que le sigue fueron comunicados a las citadas entidades a través de la sede judicial electrónica el día 28 de abril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entidad Euroinversiones Inmobiliarias Costa Sur, S.L., presentó escrito de oposición a la ejecución despachada con fecha 27 de junio de 2018. Por auto de 28 de junio de 2018 se acordó su inadmisión por presentación extemporánea, tomando como fecha de notificación el 28 de abril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sociedad mercantil recurrente interpuso recurso de reposición alegando, en síntesis, que las actuaciones de notificación y requerimiento no habían sido realizadas el día 28 de abril de 2018 sino el 13 de mayo de 2018, y que la comunicación remitida a través de la dirección electrónica habilitada no podía entenderse más que un aviso de puesta a disposición o descarga de su contenido durante un plazo determinado (en el caso desde el 28 de abril al 13 de mayo de 2018) y entenderlo de otro modo, además de infringir los arts. 135, 152, 160, 162 de la Ley de enjuiciamiento civil (LEC), vulneraba el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recurso fue resuelto por auto de 14 de septiembre de 2018 en sentido desestimatorio al constatar su condición de persona jurídica y la obligación que como tal tiene de relacionarse con la administración de justicia por medios electrónicos, de conformidad con lo previsto en la disposición transitoria cuarta de la Ley 42/2015, de 5 de octubre, de reforma de la Ley 1/2000, de 7 de enero, de enjuiciamiento civil así como en los arts. 14.2 de la Ley 39/2015 y del art. 373.3 LEC y determina que la recurrente “yerra en el plazo en el que puede acceder a su contenido a efectos de la práctica de la notificación el cual es de 10 días naturales desde la puesta a su disposición y ello por imperativo del art. 43 de la citada Ley 39/2015, de 1 de octubre, del Procedimiento Administrativo Común de las Administraciones públicas” que reproduce.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se queja en su recurso de la vulneración de su derecho a la tutela judicial efectiva sin indefensión (art. 24.1 CE) en su vertiente de acceso al proceso. Considera que la interpretación ofrecida en el auto objeto de impugnación, que se apoya en la Ley de procedimiento administrativo eludiendo las garantías exigibles para las notificaciones de un proceso judicial, cercena el derecho a la tutela judicial efectiva al privar a la recurrente del derecho a formular oposición en un proceso de ejecución hipotecaria. A tal fin, aduce que siguió la literalidad de las instrucciones contenidas en un correo electrónico que recibió procedente del servicio de notificaciones electrónicas, accediendo al contenido de la notificación dentro del plazo establecido en el mismo. El citado correo tiene el siguiente contenido: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 recibido una Notificación del organismo emisor Juzgados y Tribunales (SGAJ) en la Dirección Electrónica Habilitada Única del titular Euro Inversiones Inmobiliarias Costa Sur, S.L., – NIFB73258006.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notificación estará disponible en su Dirección Electrónica Habilitada única desde el 28 de abril de 2018 hasta el 13 de mayo de 2018. Si no procediera a su lectura en el plazo indicado se producirán los efectos correspondientes, según la normativa aplicable.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que conste como leída, por favor acceda a http://notificaciones.060.es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Asunto: JDO. 1 INST. E INSTR. N 3 DE LORCA EJH/00000114/2018”.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la entidad recurrente afirmando que las resoluciones impugnadas no han “dado cumplimiento a las exigencias constitucionales reconocidas para los actos de notificación procesal, donde los órganos judiciales no han de limitarse al formal cumplimiento de los requisitos legales, sino que para asegurar la efectividad del derecho fundamental, la interpretación de las normas reguladoras del emplazamiento debe hacerse tratando de asegurar que el acto de comunicación cumple su finalidad constitucional, es decir, la efectividad real del emplazamiento, pues el artículo 24.1 de la Constitución Española contiene un mandato no solo dirigido al legislador, sino también al interprete, obligándole a promover la defensa mediante la correspondiente contradicción”.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se solicita por medio de otrosí la suspensión del procedimiento de ejecución hipotecaria alegando que la continuación de la ejecución “con la celebración de subasta y la eventual adjudicación a terceros, pueden hacer perder al recurso de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17 de junio de 2019 la Sección Primera de este Tribunal acordó admitir a trámite el recurso de amparo y dirigir comunicación al Juzgado de Primera Instancia e Instrucción núm. 3 de Lorca, a fin de que, en el plazo de diez días, emplazara a quienes hubieran sido parte en el procedimiento de ejecución hipotecaria 114-2018, para que puedan comparecer, si lo desean, en el presente recurso de amparo, no siendo necesario la remisión del testimonio de actuaciones al constar solicitadas en el recurso de amparo núm. 5549-2018.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acordó formar la oportuna pieza para la tramitación del incidente de suspensión y, conforme a lo dispuesto en el art. 56 de la Ley Orgánica del Tribunal Constitucional (LOTC), concedió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el 20 de junio de 2019, la parte demandante formuló sus alegaciones, reiterando lo dicho en el otro sí de su demanda y trascribiendo parte del ATC 287/2013, de 16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en escrito registrado el 1 de julio de 2019, interesa que se acuerde la anotación preventiva de la demanda en el registro de la propiedad, aunque esta última medida no haya sido solicitada en el recurso de amparo. Tras exponer la doctrina de este Tribunal sobre suspensión de resoluciones y actos impugnados, considera que la aplicación al caso de dicha doctrina nos debe llevar a considerar que nos encontramos en uno de esos supuestos en que, de no adoptarse la medida de anotación preventiva de la demanda, la tutela que pudiera otorgarse por este Tribunal no sería completa si se deja abierta la posibilidad de que la finca sea transmitida a un tercero de buena fe mientras se sustancia y resuelve el presente recurso de amparo, por lo que interesa la anotación preventiva de la demanda en el registro de la propiedad evitando así situaciones cuya reversibilidad sería imposible.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recurrente en amparo y dirigida frente al procedimiento de ejecución hipotecaria núm. 114-2018 seguido en el Juzgado de Primera Instancia e Instrucción núm. 3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13 de febrero, FJ 2; 74/2013, de 8 de abril, FJ 2; 152/2013, de 8 de julio; FJ 2; 37/2014, FJ 2; 282/2014, de 17 de noviembre, FJ 4,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de la que se ha hecho mención al caso aquí planteado permite concluir, de acuerdo con el ministerio fiscal, que resulta improcedente la suspensión solicitada y, por el contrario, medida idónea la anotación preventiva de la demanda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recurrente se limita a poner de manifiesto, genéricamente, que la eventual adjudicación a terceros puede hacer perder al recurso de amparo su finalidad, sin añadir indicación alguna sobre la situación y circunstancias de la entidad mercantil recurrente así como sobre las características, destino y estado posesorio del inmueble hipotecado. En tales circunstancias, no es posible afirmar que la continuación del curso del procedimiento judicial, incluso con un desplazamiento posesorio, provoque por sí sola un perjuicio determinante de la perdida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se reputa medida idónea para evitar el perjuicio derivado de que la adquisición del bien por tercero lo haga irreivindicable.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ha sido la solución acogida recientemente, entre otros, en los AATC 2/2019, de 9 de enero, 88/2018, de 17 de septiembre, y 106/2017, de 17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y que, de acuerdo con el ATC 95/2015, el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 Nuestra decisión en esta materia al ordenar que se practique la anotación preventiva, remite al órgano judicial la práctica de las actuaciones pertinentes para que pueda llevarse a efecto la medida, de conformidad con la legislación procesal e hipotecaria (AATC 257/2003, de 14 de julio, 406/2003, de 15 de diciembre, 230/2007, de 7 de mayo, FJ 3, y 415/2007, de 5 de noviembre, FJ 4, y 217/2012,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114-2018 seguido en el Juzgado de Primera Instancia e Instrucción núm. 3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julio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