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de títulos judiciales núm. 1134-2011, seguido en el Juzgado de Primera Instancia núm. 84 de Madrid.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enero de 2019, tuvo entrada en el registro general de este Tribunal Constitucional un escrito de la procuradora doña Lourdes Fernández Luna Tamayo, en representación de la entidad Lanneman, S.L., por el que interpuso recurso de amparo contra el auto de 29 de octubre de 2018 del Juzgado de Primera Instancia núm. 84 de Madrid, que declaró no haber lugar a la nulidad de actuaciones instada por la ahora recurrente respecto del anuncio de publicación de subasta de una finca de la que aquélla era titular en el portal de subastas del “Boletín Oficial del Estado” (“BOE”).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curso del procedimiento de ejecución de títulos judiciales núm. 1134-2011, seguido ante el Juzgado de Primera Instancia núm. 84 de Madrid, fue dictado un decreto de 27 de julio de 2017, por el que el letrado de la administración de justicia de dicho juzgado acordó sacar a subasta electrónica la finca núm. 36.385 (sic), inscrita a favor de la entidad Lannemamn, S.L., en el registro de la propiedad de Valdemoro (Madrid). En la citada resolución se hacía una descripción del inmueble. Este decreto fue posteriormente aclarado por otro posterior del 4 de septiembre siguiente, que subsanó la numeración de la finca registral en el sentido de que el número correcto era el “36.835”.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Firme el anterior decreto, con fecha 6 de abril de 2018, el juzgado, por medio de diligencia de ordenación, acordó proceder al anuncio y consiguiente publicidad de la subasta, dándola de alta en el portal de subastas del “Boletín Oficial del Estado”. Para ello, remitió edicto que incluía las condiciones generales y particulares de la subasta y de los bienes a subastar. El edicto, que llevaba fecha del día 7 de mayo siguiente, fue publicado en el portal de subastas electrónicas del “BOE” con la identificación “subasta-sub-ja-2018-97427”. En el anuncio se hacía mención a que la finca tenía la condición de “local comercial” y no de “solar”, que, en el criterio de la parte ahora recurrente, era lo que procedía.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la vista del error advertido, en fecha 30 de mayo de 2018, la parte ahora demandante de amparo presentó un escrito en el que solicitaba del juzgado que declarase “la nulidad del anuncio de la subasta” en el mencionado portal de subastas, así como la retroacción de las actuaciones y la procedencia de insertar nuevamente el anuncio, de modo correcto, en “la categoría de solares”, con comienzo de un nuevo plazo para la presentación de posturas.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anterior solicitud fue contestada por diligencia de ordenación del juzgado de 2 de julio de 2018 por la que declaró “no haber lugar a acordar la nulidad de la subasta electrónica solicitada por la parte ejecutada, quedando pendiente de dictar el decreto de aprobación del remate y/o adjudicación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la anterior diligencia de ordenación, la representación de la entidad Lanneman, S.L., formalizó recurso de reposición que fue estimado por medio de decreto de 18 de octubre de 2018, en el sentido de dejar sin efecto la anterior diligencia de ordenación, pero con la única mención de dar cuenta a la “Sra. magistrada de la solicitud de nulidad del anuncio de la subasta en el portal de subasta de la agencia estatal del ‘Boletín Oficial del Estado’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Finalmente, por medio de auto de 29 de octubre de 2018, el juzgado acordó no haber lugar “a declarar la nulidad de actuaciones interesada por Lanneman, S.L.”. Solicitada por esta parte la aclaración del mismo, el juzgado dictó un nuevo auto de 14 de diciembre de 2018, que desestimó la solicitud así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resolución judicial impugnada ha incurrido en vulneración de su derecho a la tutela judicial efectiva (art. 24.1 CE) porque, en primer lugar, entiende que el juzgado ha acordado denegar su solicitud de declaración de nulidad de la subasta para subsanar el error advertido en el anuncio publicado en el portal de subastas del “BOE”, toda vez que la categoría asignada al inmueble objeto de licitación, la de “local comercial”, era errónea y debería haber sido corregida por la de “solar”, que era la que realmente correspondía al inmueble. Y, en segundo término, que el auto adolece de una sucinta argumentación que, a criterio de la parte recurrente, vulnera el derecho de la parte a obtener una resolución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“otrosí tercero digo”, la demanda solicita la suspensión del procedimiento de ejecución de títulos judiciales núm. 1134-2011 y, en particular, la de la subasta electrónica sobre el bien anteriormente referenciado, pues, según señala, el bien sólo se halla “pendiente de adjudicación y remate a favor del postor que planteó la puja más alta (la propia ejecutante) y ello por cuanto de seguirse con la adjudicación citada se estarían causando a mi mandante, en su condición de recurrente, perjuicios irreparables cuando podrá ver finalmente adjudicado su inmueble a favor de la ejecutante con el consiguiente acceso al registro de la propiedad, pudiendo dicha entidad proceder a su enajenación, gravamen o disposición, estando los terceros protegidos por la fe pública registral”. Subsidiariamente y de no accederse a la suspensión interesada, la parte solicita la medida cautelar “consistente en la anotación preventiva en el registro de la propiedad de la pendencia del presente recurso de amparo sobre la titularidad de la parcela subastada”.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Sección Cuarta, de este Tribunal Constitucional, dictó providencia el 2 de julio de 2019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núm. 84 de Madrid a fin de que, en plazo que no exceda de diez días, remita certificación o fotocopia adverada de las actuaciones correspondientes al procedimiento de ejecución de títulos judiciales núm. 1134-2011;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nueva providencia dictada por la Sección Cuarta de este Tribunal en la misma fecha de la admisión del recurso, el 2 de julio de 2019,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entidad recurrente presentó su escrito de alegaciones el día 11 de julio de 2019, insistiendo en su interés por que se acceda a lo solicitado en cuanto a la suspensión del procedimiento de ejecución hipotecaria referido y, de modo subsidiario, en que se acuerde la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formalizó su escrito de alegaciones en esta pieza el 18 de julio de 2019, interesando que se adopte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56.1 LOTC y reproducir lo reiteradamente declarado en diferentes resoluciones por este Tribunal acerca de la necesidad de acreditar por el interesado la existencia de un perjuicio irreparable, para poder acordarse la suspensión de los actos impugnados en amparo, sostiene el fiscal que, en el presente caso, la parte actora “se limita a la mera petición, sin explicitar ninguna razón salvo la mera pérdida de finalidad del recurso en el caso de que llegara a celebrarse la subasta de los bienes inmuebles en conflicto y su adjudicación a un tercero que actuaría de buena fe. Acordar la suspensión solicitada comportaría la drástica medida que supondría la paralización del procedimiento ejecutivo, que por su propia naturaleza goza de las características de celeridad y sumariedad”.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finalmente, en que es procedente la medida de anotación preventiva, pues, de lo contrario, la tutela que pudiera otorgarse por este Tribunal no sería completa si se deja abierta la posibilidad de que la finca sea transmitida a tercero de buena fe mientras se sustancia y resuelve el presente proceso de amparo, por lo que se interesa su adopción.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las medidas cautelares instadas, principal y subsidiariamente, por la parte recurrente en amparo y dirigidas frente al procedimiento de ejecución de títulos judiciales núm. 1134-2011, seguido en el Juzgado de Primera Instancia núm. 84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objeto de la subasta.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de títulos judiciales núm. 1134-2011, seguido en el Juzgado de Primera Instancia núm. 84 de Madrid.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