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5565-2018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5565-2018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cautelarmente el lanzamiento de la finca adjudicada en el procedimiento de ejecución hipotecaria núm. 31-2009, seguido ante el Juzgado de Primera Instancia e Instrucción núm. 1 de Valdemoro.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octubre de 2018, la procuradora de los tribunales doña María Teresa Marcos Moreno, en nombre y representación de don Carlos Santiago Contreras, interpuso recurso de amparo contra la providencia del Juzgado de Primera Instancia e Instrucción núm. 1 de Valdemoro de 1 de octubre de 2018, por la que se inadmitió el incidente excepcional de oposición y de nulidad de actuaciones promovido en el procedimiento de ejecución hipotecaria núm. 31-2009.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desprende de la demanda, frente al actor se siguió procedimiento de ejecución hipotecaria a instancias de BBVA, S.A., en el cual se despachó ejecución por auto de 21 de septiembre de 2009, que no hizo referencia al examen de oficio de las cláusulas contractuales, por si pudieran resultar abusivas. La representación designada al actor de oficio formuló oposición en septiembre de 2010 con base a la normativa vigente en aquel momento, sin invocar, por tanto, el carácter abusivo de las cláusulas del préstamo hipotecario. El juzgado desestimó la oposición mediante auto de 21 de enero de 2011, prosiguiendo los siguientes trámites hasta la subasta de la finca hipotecada, que fue adjudicada al banco ejecutante al quedar aquella desierta, manifestando el mismo su intención de ceder el remate a un tercero. Acordado el lanzamiento y suspendido a causa de la incorrección en las notificaciones personales del mismo, el demandante de amparo presentó incidente excepcional de oposición y de nulidad de actuaciones, planteando la existencia de cláusulas abusivas de vencimiento anticipado e intereses moratorios en el título ejecutado, así como la obligación del órgano judicial de proceder a su control de oficio, de acuerdo con las sentencias dictadas sobre el particular por el Tribunal Supremo y por el Tribunal de Justicia de la Unión Europea. El juzgado dictó providencia inadmitiendo el incidente, con el argumento de que tal pretensión debía haberse formulado por medio de oposición dentro del plazo otorgado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se queja de la vulneración de su derecho a la tutela judicial efectiva (art. 24 CE), en relación con los arts. 10.2 y 96.1 (principio de primacía del derecho comunitario), 47 (derecho a una vivienda digna) y 51 (especial protección de los consumidores) del texto constitucional. Por una parte, porque se ha solicitado un pronunciamiento sobre el valor constitucional, y para el ámbito desplegado por el art. 24.1 CE, de la nueva jurisprudencia europea y nacional sobre cláusulas abusivas, y su significado retroactivo (restrospective overruling) o prospectivo (prospective overruling) en relación con un asunto sometido a un órgano judicial, que ha negado dicho análisis a pesar de no haberse pronunciado antes sobre ese particular, y no haber finalizado de forma irreversible y procesal el procedimiento. Por otra, por la ausencia de una resolución motivada sobre el fondo del asunto, pues el juzgado inadmite la pretensión formulada en el incidente al entender que debió oponerse la abusividad en el plazo de oposición, cuando por ley eso estaba vedado, como de hecho entendió el auto resolutorio de la oposición, que rechazó los argumentos esgrimidos por no encontrarse entre los motivos tasados del art. 695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solicita la suspensión de la ejecución del curso del procedimiento y de las diligencias de lanzamiento que en el mismo se acuerden, ya que dicha ejecución haría perder al amparo su finalidad. Señala que, de proseguirse la ejecución, se produciría el lanzamiento de la vivienda, de la que se vería privado el actor, siendo así que lo que se planteaba era la nulidad, por abusiva, de una cláusula que ha servido de fundamento a la ejecución. Resulta por ello evidente que se le ocasionaría un perjuicio irreparable, sin que la suspensión suponga una perturbación grave para los intereses generales ni para los derechos o libertades de terceros, por cuanto el adjudicatario de la vivienda es el propio banco, a través del fondo de titulación de activos, sin que este fondo tenga necesidad de uso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15 de julio de 2019, la Sección Segunda de este Tribunal acordó admitir a trámite el recurso de amparo al apreciar que el asunto trasciende del caso concreto porque plantea una cuestión jurídica de relevante y general repercusión social y económica [STC 155/2009, FJ 2 g)], así como dirigir comunicación al Juzgado de Primera Instancia e Instrucción núm. 1 de Valdemoro, a fin de que en el plazo que no exceda de diez días remitiera certificación o fotocopia adverada de las actuaciones correspondientes al procedimiento de ejecución hipotecaria núm. 31-2009, y emplazar a quienes hubieran sido parte en el proceso del que trae causa el presente recurso, excepto la parte recurrente en amparo, para que en el plazo de diez días puedan comparecer en el mismo,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actor presentó escrito de alegaciones el 18 de julio de 2019, en el que daba por reproducidas las efectuadas en el escrito de interposición del recurso, señalando la similitud del presente caso con el resuelto por la STC 31/2019, lo que determina la apariencia de fumus boni iuris del recurso, e invocando, a efectos de la suspensión, el ATC 58/2018, basado en el mismo presupuesto concurrente en el presente procedimiento. Asimismo, se indicaba que el juzgado tiene acordado el lanzamiento para el día 8 de octubre de 2019, acompañando la diligencia de ordenación de 28 de marzo de 2019 que señala la práctica del mismo en la fecha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registrado el 29 de julio de 2019, interesó que se otorgue la suspensión solicitada o, alternativamente, que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está justificada, pues si se consumase la trasmisión de la vivienda al ejecutante o al cesionario de su derecho, posteriores trasmisiones a título oneroso a terceras personas colocarían al bien en situación de difícil recuperación, ya que lo convertirían en prácticamente irreivindicable. Agrega que si se hubiese producido el lanzamiento, la suspensión solicitada no evitaría los perjuicios a que se hacía referencia, de modo que, en tal caso, resultaría más eficaz la anotación preventiva de la demanda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el demandante de amparo respecto del procedimiento de ejecución hipotecaria núm. 31-2009 seguido ante el Juzgado de Primera Instancia e Instrucción núm. 1 de Valdemoro.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este Tribunal ha entendido por perjuicio irreparable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(por todos,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particular,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como nos recuerda el ATC 58/2018, de 4 de junio, FJ 2, “[e]ste Tribunal ha admitido de forma reiterada —entre otros muchos, en los AATC 74/2013, de 8 de abril, FJ 2; 152/2013, de 8 de julio, FJ 2; 37/2014, de 10 de febrero, FJ 2; 59/2015, de 16 de marzo, FJ 2; 48/2016, de 29 de febrero; 106/2017, de 17 de julio, FJ 1, y 21/2018, de 5 de marzo, FJ 3—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declaración de nulidad de la providencia de 1 de octubre de 2018, que inadmitió el incidente de nulidad de actuaciones promovido por el actor, así como la de las diligencias posteriores, con reconocimiento de su derecho a obtener la realización del correspondiente control del carácter abusivo de determinadas cláusulas del préstamo hipotecario. En función de ello, la suspensión interesada trasciende de la resolución formalmente impugnada, que es la referida providencia por la que se inadmitió el incidente de nulidad de actuaciones. De las actuaciones aportadas se desprende que el bien inmueble hipotecado fue adjudicado a la entidad BBVA, S.A., que manifestó su voluntad de ceder el remate, y consta igualmente que la parte ejecutante ha solicitado el lanzamiento del actor, que ha sido fijado por el órgano judicial para el 8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tales circunstancias, y de acuerdo con la doctrina constitucional expuesta, procede acordar la suspensión solicitada, puesto que, en caso contrario, se privaría al recurrente en amparo de la posesión de su vivienda mediante la ejecución del lanzamiento acordado por el órgano judicial, lo que abocaría a una situación difícilmente reversible, que haría perder la finalidad al presente recurso (en este sentido, ATC 37/2014, de 10 de febrero, FJ 3). Además, no se advierte que la suspensión de la ejecución pueda entrañar una perturbación grave a un interés constitucionalmente protegido o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línea con lo resuelto en el ATC 21/2018, de 5 de marzo, debe acordarse también la medida cautelar de anotación preventiva de la demanda de amparo en el registro de la propiedad de acuerdo con lo alegado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medida cautelar que este Tribunal, de conformidad con el artículo 56 LOTC, puede adoptar de oficio o a instancia de parte, con fundamento en el artículo 42.1 de la Ley hipotecaria (AATC 274/2002, de 18 de diciembre, 257/2003, de 14 de julio, 230/2007, de 7 de mayo, FJ 3; 415/2007, de 5 de noviembre, FJ 4, y 28/2009, de 26 de enero, FJ 2),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anotación preventiva de la demanda, que tiene por objeto garantizar el derecho de los demandantes de amparo frente a eventuales actos de disposición, mediante el anuncio registral frente a terceros de la pendencia del proceso constitucional con sus eventuales consecuencias sobre los derechos inscritos, ha sido considerada por este Tribunal como medida idónea en los supuestos en que ya se ha producido la adjudicación del inmueble, (AATC 282/2014, de 17 de noviembre, FJ 5; 59/2015, de 16 de marzo, FJ 3, y 106/2017, de 17 de julio, FJ 3), como ocurre también en el caso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entiende que las circunstancias que presenta el supuesto sometido a consideración determinan la procedencia de acordar dicha medida cautelar, si bien no de modo alternativo respecto de la suspensión, sino junto a ella, tal y como, ante situaciones similares, acordamos en los citados AATC 282/2014, de 17 de noviembre, y 59/2015, de 16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sin prejuzgar la decisión de fondo del recurso, conducen a acordar la suspensión solicitada, que ha de entenderse referida concretamente a la entrega de la posesión de la finca adjudicada,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cautelarmente el lanzamiento de la finca adjudicada en el procedimiento de ejecución hipotecaria núm. 31-2009, seguido ante el Juzgado de Primera Instancia e Instrucción núm. 1 de Valdemoro.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