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abril de 2019, tuvo entrada en el registro general de este Tribunal Constitucional un escrito de la procuradora doña Blanca Berriatua Horta, en representación de la entidad Penrei Inversiones, S.L., por el que interpuso recurso de amparo contra el auto de 21 de septiembre de 2018 del Juzgado de Primera Instancia e Instrucción núm. 5 de Lorca, que inadmitió por extemporánea la demanda de oposición a la ejecución hipotecaria promovida por la sociedad recurrente en amparo, y contra el auto del mismo juzgado, de 27 de febrero de 2019, que desestimó el recurso de reposición sucesivamente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septiembre de 2018, el Juzgado de Primera Instancia e Instrucción núm. 5 de Lorca dictó un auto en el procedimiento de ejecución hipotecaria núm. 362-2018 por el que acordó: “Inadmitir a trámite la oposición formulada por la parte ejecutada Penrei Inversiones, S.L., Euroinversiones Inmobiliarias Costa Sur, S.L.”,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Establece el artículo 695 LEC, que la parte ejecutada pueda oponerse al despacho de la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27 de febrero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 2 a) de la Ley 39/2015, de procedimiento administrativo común de las administraciones públicas, y art. 273. 3 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13 de junio de 2018 no accediendo al contenido hasta el día 25 de julio de 2018 respecto a Penrei Inversiones, S.L., y el día 26 de julio de 2018 a Euroinversiones Inmobiliarias Costa Sur, S.L. (fuera de los tres días que establece la normativa procesal), presentando los escritos de oposición a la ejecución en fecha 31 de julio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saber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no ser notificada personalmente la demanda de ejecución hipotecaria, otorgándose efecto a la remisión de un correo electrónico por un servicio de notificaciones electrónicas que carece de los requisitos esenciales para considerarse un acto de notificación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se afirma que cuando es el primer emplazamiento, y por tanto todavía aquella “no ha tenido ninguna relación con el juzgado correspondiente en este especial y concreto procedimiento”, ha de practicarse el acto mediante cédula de emplazamiento o citación con entrega en papel de la documentación correspondiente, conforme establece el art. 273 LEC, en relación con los arts. 135, 152, 162 y 155 de la misma norma. El último precepto citado,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el recurso, por lo demás, que incluso la notificación realizada careció de las formalidades necesarias en las comunicaciones electrónicas. Sobre el auto del 27 de febrero de 2019, que desestimó la reposición, se aduce que, con independencia de que las personas jurídicas hayan de relacionarse con la administración en general por medios electrónicos, en ningún precepto de la Ley de enjuiciamiento civil se dice que al proceso civil se le apliquen normas del proceso administrativo, pues en el ámbito procesal civil existen normas propias, que resultaron incumplidas.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 todo ello, se solicita de este Tribunal Constitucional que, con estimación del amparo, acuerde la nulidad de ambas resoluciones judiciales y ordene reponer las actuaciones al momento previo al dictado de la primera de ellas, a fin de que el juzgado a quo admita a trámite la demanda de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se solicitó “la suspensión de la continuación del procedimiento de ejecución hipotecaria 362-2018 seguido ante el Juzgado de Primera Instancia e Instrucción núm.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16 de septiembre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5 de Lorca a fin de que, en plazo que no exceda de diez días, remita certificación o fotocopia adverada de las actuaciones correspondientes a la ejecución hipotecaria núm. 362-2018; debiendo emplazar,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testimonio de los particulares necesarios, fórmese pieza separada de suspensión en la que se acordará lo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16 de setiembre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25 de septiembre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o en su caso fuera adjudicada a la propia demandante del procedimiento de ejecución hipotecaria,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de persistir estas, “la desposesión del bien ejecutado, conllevaría a situaciones irreversibles, con un inevitable perjuicio” para la sociedad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27 de septiembre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suspensión solicitada comportaría la paralización del procedimiento ejecutivo que, por su propia naturaleza, goza de las características de celeridad y sumariedad, siendo mucho más eficaz en su criterio, para conseguir el efecto protector deseado,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adquirente quede especialmente protegido por su buena fe en la adquisición. Cita en apoyo de su petición el art. 56.3 LOTC, que permite al Tribunal adoptar toda medida que evite que el recurso de amparo pueda perder su finalidad, así como el ATC 95/2015, de 25 de mayo, FJ 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