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4136-2014, promovido por don Tarik Dermaj, representado por la procuradora de los tribunales doña María del Mar Serrano Moreno y defendido por el letrado don Fernando Doria Fernández, contra la resolución de 30 de enero de 2013, dictada por el secretario de Estado de Justicia por delegación del ministro de Justicia, confirmada en reposición por resolución de 16 de septiembre de 2013, que desestimó la reclamación por responsabilidad patrimonial del Estado por prisión preventiva seguida de absolución, y contra la sentencia del Juzgado Central de lo Contencioso-Administrativo núm. 3, de 20 de mayo de 2014, que desestimó el recurso contencioso-administrativo interpuesto contra las anteriores resoluciones (procedimiento abreviado núm. 637-2013). Ha sido parte el abogado del Estado, en la representación que ostenta,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junio de 2014, el letrado don Fernando Doria Fernández, designado para la defensa de don Tarik Dermaj,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auto del Juzgado de Instrucción núm. 9 de Málaga, dictado en fecha 22 de julio de 2011 en las diligencias urgentes de juicio rápido núm. 202-2011, seguidas por delito de robo con violencia en grado de tentativa, delito de atentado y falta de lesiones, se acordó la prisión provisional comunicada y sin fianza de don Tarik Dermaj, situación en la que permaneció hasta el 7 se septiembre de 2011. La sentencia dictada por el Juzgado de lo Penal núm. 9 de Málaga en fecha 6 de septiembre de 2011 absolvió al aquí recurrente de un delito de robo con violencia en grado de tentativa, un delito de atentado y de una falta de lesiones por los que había sido acusado. Los hechos declarados probados fueron los siguientes, literalmente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16:40 horas del día 19 de julio de 2011, una persona entró en la clínica ‘Vitaldent’, sita en la calle Mármoles núm. 15 de Málaga, tapando su cara con una media y portando un cuchillo, y seguidamente gritó a la dependienta para que le diera el dinero. Ante los gritos de auxilio, un cliente que se encontraba en ese establecimiento, Antonio Navarrete Acenjo, cerró la puerta para detenerlo hasta la llegada de la policía, pese a lo cual esa persona dio patadas en el cristal y abandonó el lugar sin lograr su propósito de apoderamiento, no obstante lo cual, al salir, con ánimo de causar un deterioro en su integridad física, dio un corte con el cuchillo a Antonio en su antebrazo izquierdo, ocasionándole por ello lesiones de carácter leve de las que sanará tras una primera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Encontrándose en las inmediaciones el agente de la Policía Nacional de Torremolinos con carnet profesional núm. 117.441, que se encontraba libre de servicio, trató de detener al autor de los hechos, identificándose como policía mediante su placa-insignia, lo que motivó que aquel se revolviera y le lanzara el cuchillo, no logrando alcanzarle.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sin embargo acreditado suficientemente que esa persona fuera Tarik Dermaj”.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para la absolución de don Tarik Dermaj aparecen extensamente expuestas en los fundamentos jurídicos segundo y tercero de la referida sentencia, dedicados a la valoración de las pruebas testificales y la declaración del acusado. En ellos se expresa la existencia de dudas acerca de la participación del acusado en los hechos enjuiciados, concluyendo la sentencia que “no se ha practicado prueba de cargo, de claro signo incriminatorio apta y suficiente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11 de septiembre de 2012, don Tarik Dermaj presentó ante el Ministerio de Justicia reclamación indemnizatoria por responsabilidad patrimonial del Estado por la vía del art. 294 de la Ley Orgánica del Poder Judicial (LOPJ) y solicitó una indemnización total de 14.030,17 €, con base en que había estado privado de libertad, en situación de detención y luego de prisión preventiva, desde el 19 de julio de 2011 al 7 de septiembre de 2011, acordada por el Juzgado de Instrucción núm. 9 de Málaga en el curso de las diligencias urgentes núm. 202-2011, seguidas por delito de robo con violencia, atentado y lesiones, luego juicio rápido núm. 325-2011, en el que el Juzgado de lo Penal núm. 9 de Málaga dictó la referida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Incoado el correspondiente procedimiento administrativo (expediente núm. 508-2012) y tras los preceptivos trámites, mediante resolución de 30 de enero de 2013 del secretario de Estado de Justicia, dictada por delegación del ministro, se desestimó dicha reclamación por responsabilidad patrimonial del Estado por funcionamiento anormal de la administración de Justicia. Considera esta resolución, en síntesis, que no se cumplen los requisitos establecidos en el art. 294 LOPJ “porque el motivo de la absolución no ha sido la constatación de la inexistencia del hecho delictivo de que fue acusado, tal como se deduce del fundamento jurídico tercero in fine de la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dicha resolución don Tarik Dermaj interpuso recurso de reposición que fue desestimado por resolución de 16 de septiembre de 2013. La misma reitera que, a su entender “el hoy recurrente fue absuelto, por aplicación del principio de presunción de inocencia, por prueba insuficiente, no por inexistencia, bien objetiva o bien subjetiva del hecho imputado, como exige la interpretación jurisprudencial del Tribunal Supremo y la doctrina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las anteriores resoluciones el recurrente interpuso recurso contencioso-administrativo, alegando en su demanda la infracción del art. 294 LOPJ y de la jurisprudencia que lo desarrolla, así como del artículo 6.2 del Convenio Europeo para la Protección de Derechos Humanos y Libertades Fundamentales (CEDH) y de la jurisprudencia dictada sobre este artículo por el Tribunal Europeo de Derechos Humanos (TEDH), con cita de la sentencia de fecha 13 de Julio de 2010 (Sección Tercera), asunto Tendam c. España. En primer término aducía que la sentencia penal absolutoria contiene determinados datos acreditados que permiten afirmar que nos encontramos ante una ausencia acreditada de participación del recurrente en el delito por el que fue juzgado, tratándose, por tanto, de un supuesto de inexistencia subjetiva indemnizable con arreglo a la jurisprudencia del Tribunal Supremo. Añadía a ello que los razonamientos dados en la resolución administrativa impugnada suponen una vulneración del artículo 6.2 CEDH que establece que “toda persona acusada de una infracción se presume inocente hasta que su culpabilidad haya sido legalmente declarada”, de conformidad con la jurisprudencia del TEDH que seguidamente resume la demanda. Finalmente, pone de manifiesto que su reclamación es ajustada a Derecho porque, aunque es conocedora de la jurisprudencia, plasmada en sentencias de la Sala de lo Contencioso-Administrativo del Tribunal Supremo de 26 de junio de 2011, 23 de noviembre de 2010 y 10 de octubre de 2011, según la cual los supuestos de inexistencia subjetiva han de seguir el cauce del art. 293 LOPJ, sin embargo, la Sala de lo Penal del Tribunal Supremo, en autos de 27 de enero y 11 de mayo de 2011, entre otros, ha inadmitido por incompetencia demandas de error judicial interpuestas al amparo del cambio jurisprudencial de la Sala Tercera, por entender que estos supuestos de prisión preventiva seguidos de absolución deben encauzarse por la vía del artículo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Dicho recurso fue tramitado como el procedimiento abreviado núm. 637-2013 por el Juzgado Central de lo Contencioso-Administrativo núm. 3 que, con fecha 20 de mayo de 2014, dictó sentencia desestimando el recurso sin condena en costas. Tomando como base las declaraciones contenidas en la previa sentencia penal absolutoria, funda dicha desestimación, en síntesis, en la siguiente afirmación: “estamos ante una absolución por falta de suficiente prueba de certeza con aplicación del principio ‘in dubio pro reo’, pero no con una clara afirmación rotunda de que el demandante fuese totalmente ajeno a los hechos o bien que estos hechos no existieran, entre otras razones, porque aunque existían indicios, estos no han sido relevantes ni suficientes para enervar los principios de la presunción de inocencia y de la duda razonable”. A continuación señala la sentencia que “el hecho objetivo pudo existir, aunque la sentencia analiza las contradicciones probatorias en virtud de las cuales no concurre suficiente certeza para imputar el hecho al interesado, es decir, no concurre suficiente prueba para establecer indudablemente la existencia subjetiva o la participación del interesado en el hecho imputado y en aplicación del principio de esa duda razonable se le absuelve en la sentencia, dejando sin efecto las medidas acordadas respecto del demandante”. Tras ello se refiere ampliamente a la jurisprudencia de la Sala de lo Contencioso-Administrativo del Tribunal Supremo, que cita y trascribe, para concluir que “falta el título adecuado de imputación jurídica del daño causado por medio del cual pueda hacerse responsable a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el derecho a la presunción de inocencia del art. 24.2 CE. Sintéticamente, la demanda, tras insistir en que, a su juicio, la sentencia penal absolutoria contiene determinados datos que permiten afirmar que nos encontramos ante una ausencia acreditada de participación del recurrente en el delito por el que fue juzgado, se refiere a la doctrina del TEDH contenida en la sentencia de fecha 13 de Julio de 2010 (Sección Tercera), asunto Tendam c. España. Aduce seguidamente que, por lo que al caso se refiere, la argumentación empleada realiza una distinción entre una absolución por falta de pruebas y una absolución por inexistencia de hechos delictivos, no teniendo en cuenta la previa absolución del acusado. Y concluye señalando que, en definitiva, “se sembraron dudas sobre la inocencia” del recurrente, lo que vulneró el principio de presunción de inocencia tal y como es garantizado por el art. 6.2 CEDH siguiendo la doctrina invocada del 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demanda suplicando el dictado de sentencia por la que se otorgue al recurrente el amparo solicitado, se declare la vulneración del derecho a la presunción de inocencia así como la nulidad de la sentencia recurrida y “se dicte nueva sentencia por la que se acuerde conceder a Tarik Dermaj 14.030,17 €, más los intereses de demora desde la fecha de la reclamación efectuada hasta su completo pago, por los daños y perjuicios sufridos […] por haber padecido prisión preventiva siendo finalmente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 de julio de 2014 del secretario de Justicia de la Sección Primera de este Tribunal se acordó conceder al recurrente un plazo de diez días para que se ratificara en la demanda de amparo y facilitara un domicilio efectos de notificaciones posteriores, subsanaciones que se cumplimentaron seguidamente. Asimismo y previa comunicación al Colegio de Procuradores de Madrid, por diligencia de ordenación de 9 de septiembre de 2014, se tuvo por designada a la procuradora doña María del Mar Serrano Moreno para la representación del recurrente, quien procedió a firmar la demanda en fecha 15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abril de 2017 del secretario de Justicia de la Sección Primera de este Tribunal se acordó requerir atentamente al Juzgado Central de lo Contencioso-Administrativo núm. 3 y al Ministerio de Justicia, para que en el plazo de diez días remitieran testimonio de los autos núm. 637-2013 y del expediente núm. 508-2013. Recibidas las actuaciones judiciales y el expediente administrativo, mediante providencia de 19 de junio de 2017, la Sección Primera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y, de conformidad con lo dispuesto en el art. 51 de la Ley Orgánica del Tribunal Constitucional (LOTC), dirigir atenta comunicación al Juzgado Central de lo Contencioso-Administrativo núm. 3 a fin de que emplazase a quienes hubieran sido parte en el procedimiento abreviado núm. 637-2013, excepto a la parte recurrente en amparo, para que en el plazo de diez días pudieran comparecer en el recurso. Al tiempo se acordó, por ser parte interesada la administración del Estado, notificar la providencia al abogado del Estado y emplazarle para que en diez días pudiera comparecer en este proceso constitucional, con traslado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fecha 28 de julio de 2017, se acordó tener por personado y parte en el procedimiento al abogado del Estado, en la representación que ostenta, ordenándose entender con él las sucesivas diligencias,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11 de septiembre de 2017 el abogado del Estado presentó su escrito de alegaciones en el que termina solicitando que se dicte sentencia por la que se desestime la demanda de amparo. Para fundar tal pronunciamiento desestimatorio, argumenta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un derecho susceptible de amparo a obtener una reparación económica por haber sufrido prisión provisional, ni en el marco en nuestra Constitución ni en el del CEDH, como la propia sentencia Tendam reconoce en su parágrafo 36: “Aun cuando ni el artículo 6 § 2 ni ninguna otra cláusula del Convenio otorgan derecho a una indemnización por una prisión provisional adoptada legalmente en caso de absolución (vid., mutatis mutandis, Dinares Peñalver c. España (dic.), núm. 44301-98, 23 de marzo de 2000), no puede admitirse la expresión de sospechas sobre la inocencia de un acusado tras una absolución firme (vid, en este sentido, Sekanina , antes citado,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TEDH sobre la proyección extraprocesal del principio de presunción de inocencia es muy rica en pronunciamientos y matices y, en todo caso, en absoluto unívoca, como se pretende de contrario. El TEDH ha sistematizado este conjunto de pronunciamientos mediante la sentencia de la Gran Sala de 12 de julio de 2013, asunto Allen c. Reino Unido. Esta sentencia, tras referirse a las SSTEDH Lundkvist c. Suecia, de 13 de noviembre de 2013, Bok c. Países Bajos, de 18 de enero de 2011, y Lorenzetti c. Italia, de 10 de abril de 2012, declara en el parágrafo 125 que “de este análisis de la jurisprudencia del Tribunal sobre el artículo 6.2 CEDH se desprende que no existe un solo punto de vista para valorar las circunstancias en las que esta disposición es vulnerada en el contexto de procesos posteriores a la terminación de un proceso penal. Tal y como muestra la jurisprudencia de este Tribunal, todo dependerá de la naturaleza y del contexto del proceso en el que fue adoptada la decisión impugnada”. Y acto seguido puntualiza en el parágrafo 126 que “en todos los casos sin importar el punto de vista a aplicar, el lenguaje utilizado por el órgano decisor es de vital importancia para valorar la compatibilidad de una decisión y su razonamiento con el artículo 6.2 CEDH. Sin embargo, cuando se centra la atención en la naturaleza y el contexto concreto de un proceso, incluso el uso desafortunado del lenguaje puede no ser un elemento determinante (véase el parágrafo 125 supra). La jurisprudencia del Tribunal muestra algunos ejemplos en los que no se declaró la violación del artículo 6.2 CEDH a pesar de que el lenguaje utilizado por los tribunales y autoridades nacionales fuera criticado (véanse Reeves, citada anteriormente; y A.L., citada anteriormente, §§38-39)”.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da origen al presente recurso de amparo resulta penamente aplicable, a juicio del abogado del Estado, la nueva doctrina contenida en la sentencia Allen del TEDH de acuerdo con la cual en atención a la naturaleza y el contexto concreto del proceso, incluso el uso desafortunado del lenguaje puede no ser un elemento determinante. En cualquier caso, a su juicio, en el presente supuesto ni siquiera puede apreciarse un desafortunado uso del lenguaje, pues en modo alguno se pone en duda la inocencia del recurrente, sino que se limita a apreciar la falta de concurrencia de los supuestos de hecho para dar lugar a la reclamación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presunta vulneración del derecho a la tutela judicial efectiva consagrado en el artículo 24 CE, se limita a poner de manifiesto que el recurrente ha acudido, con plenitud de garantías procesales, y con pleno respeto por tanto a su derecho a la defensa y al juez ordinario predeterminado por la ley, a los procedimientos judiciales previstos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13 de septiembre de 2017 el Ministerio Fiscal presentó su escrito de alegaciones en el que termina solicitando que se otorgue el amparo al haberse vulnerado el derecho fundamental del recurrente a la presunción de inocencia (art. 24.2 CE), se acuerde la nulidad de la sentencia y de las resoluciones administrativas impugnadas y se retrotraigan las actuaciones al momento anterior al dictado de la resolución del secretario de Estado de Justicia de 30 de enero de 2013 para que se resuelva la reclamación de responsabilidad patrimonial planteada sin introducir dudas sobre la culpabilidad del recurrente y su derecho a dicha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el recurrente, argumenta el fiscal ante el Tribunal Constitucional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guarda una sustancial similitud con lo resuelto en las SSTC 8/2017, de 19 de enero, y 10/2017, de 30 de enero, en las que se apreció la vulneración preconizada del derecho a la presunción de inocencia (art. 24.2 CE). A su juicio, se vino a sostener en dichos casos, como también viene a acontecer en el presente, que la diferenciación que la nueva doctrina del Tribunal Supremo emanada de las sentencias de 23 de noviembre de 2010 (recursos de casación núms. 4288-2006 y 1908-2006) introducía entre los individuos absueltos —en cuanto obliga a atender a las pruebas en las que se basa la absolución en la consideración de que solo determinadas conclusiones probatorias (las de inexistencia objetiva del hecho) permiten afirmar la inocencia a efectos de exigir una indemnización— es contraria al derecho a la presunción de inocencia (art. 24.2 CE), ya que implica mantener la sospecha de la culpabilidad sobre aquellos que han sido absueltos por la insuficiencia de las pruebas relativas a la participación en un delito que realmente se ha cometido, pero al que el individuo que ha sufrido la prisión ha sido completamente ajeno. En consecuencia, el efecto real de la doctrina del Tribunal Europeo de Derechos Humanos solo podría ser que toda persona absuelta en el proceso penal en virtud del principio in dubio pro reo ha de ser considerada acreedora de indemnización por la prisión provisional sufrida, sin que quepa establecer escalas o graduaciones entre las diversas conclusiones probatorias que llevan al resultado final absolutorio a efectos de reconocer el derecho a la indemnización solo a quienes puedan ser considerados inocentes en un grado máximo. Ello hace que también aquí el recurrente venga a considerar que la denegación de la indemnización, al basarse en la mera catalogación de la absolución penal del mismo como un supuesto de aplicación del principio in dubio pro reo, deba ser reputada vulneradora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Público, también en este supuesto, lo que resulta principalmente determinante es que, como concretamente subrayó la STC 10/2017, de 30 de enero, FJ 4, “las resoluciones impugnadas deniegan todas ellas la indemnización en consideración a que el principio in dubio pro reo, esto es, la insuficiencia de la prueba practicada para generar una convicción sobre la responsabilidad criminal más allá de toda duda razonable, ha sido el determinante de la absolución decretada en el proceso penal”. Y, parafraseando la decisión constitucional al operar así, la resolución administrativa y las resoluciones judiciales que la confirman “cuestiona[n] la inocencia del demandante, lo que sucedía en los asuntos Puig Panella y Tendam siguiendo la reciente STEDH de 16 de febrero de 2016 (asunto Vlieeland Boddy y Marcelo Lanni c. España) […] de modo que se menospreció la presunción de inocencia” (STC 8/2017, de 19 de enero, FJ 7), de manera que “con arreglo a esta doctrina, las decisiones recurridas en este proceso constitucional suscitan dudas sobre la inocencia del denunciante, razón por la que deben ser anuladas a efectos de que sean sustituidas por otras compatibles con el derecho del actor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según el fiscal, el motivo relativo a la conculcación del derecho a la presunción de inocencia debe ser estimado, procediendo el reconocimiento de dicha vulneración constitucional y la retroacción de actuaciones al momento anterior a dictarse la resolución del secretario de Estado de Justicia para que se resuelva nuevamente la cuestión planteada sin introducir dudas sobre la culpabilidad del recurrente y su derecho a dicha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las resoluciones de 30 de enero y 16 de septiembre de 2013 del secretario de Estado de Justicia, dictadas por delegación del ministro, que rechazaron, originariamente y en reposición, la reclamación formulada por el recurrente de una indemnización en virtud de la responsabilidad patrimonial en que habría incurrido el Estado por la prisión preventiva sufrida por el mismo y seguida de su absolución, así como contra la sentencia del Juzgado Central de lo Contencioso-Administrativo núm. 3, de 20 de mayo de 2014, que desestimó el recurso contencioso-administrativo (procedimiento abreviado núm. 637-2013) en cuanto que no reparó la lesión del derecho fundamental que se imputaba a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de esta sentencia han quedado expuestas con detalle las circunstancias relativas al proceso penal, al procedimiento administrativo que desembocó en las resoluciones administrativas desestimatorias de la reclamación, al igual que las referidas al proceso judicial promovido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4035-2019), a cuyos fundamentos jurídicos debemos remitirnos. En concreto, en su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30 de enero de 2013,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Tarik Dermaj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20 de mayo de 2014 del Juzgado Central de lo Contencioso-Administrativo núm. 3, dictada en el recurso contencioso-administrativo núm. 637-2013, y de las resoluciones del secretario de Estado de Justicia de 30 de enero y 16 septiembre de 2013, recaídas en el expediente núm. 508-2012.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