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70-2018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mayo de 2019, tuvo entrada en el registro general de este Tribunal Constitucional un escrito de la procuradora doña Blanca Berriatua Horta, en representación de la entidad Euroinversiones Inmobiliarias Costa Sur, S.L., por el que interpuso recurso de amparo contra el auto de 17 de septiembre de 2018 del Juzgado de Primera Instancia e Instrucción núm. 6 de Lorca, que inadmitió el escrito de oposición a la ejecución hipotecaria promovida por Banco de Sabadell, S.A.; y contra el auto del mismo juzgado, de 8 de abril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17 de septiembre de 2018, el Juzgado de Primera Instancia e Instrucción núm. 6 de Lorca dictó un auto en el procedimiento de ejecución hipotecaria núm. 70-2018 por el que acordó: “Inadmitir a trámite la oposición formulada por la parte ejecutada Euroinversiones Inmobiliarias Costa Sur, S.L., y Penrei Inversiones, S.L., […] por presentación fuera de plazo, contra Banco Sabadell, S.A.”,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de la Ley de enjuiciamiento civil: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en el plazo de los diez días siguientes a la notificación del auto y del decreto y constando en el presente supuesto que la parte ejecutada se ha opuesto pasado que ha sido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8 de abril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21 de junio de 2018, no accediéndose al contenido hasta el día 2 de agosto de 2018 respecto de Euroinversiones y el 27 de julio de 2018 respecto de Penrei (fuera de los tres días que establece la normativa procesal), presentando los escritos de oposición a la ejecución en fecha 29 de agosto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[sic]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17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del 8 de abril siguiente que desestimó la reposición,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aquellas, a fin de que el juzgado a quo admita a trámite la “demanda de oposición al despacho de ejecución formulada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70-2018 seguido ante el Juzgado de Primera Instancia e Instrucción núm. 6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25 de noviembre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 y porque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obrando ya testimonio de las correspondientes actuaciones, diríjase igualmente atenta comunicación al Juzgado de Primera Instancia e Instrucción núm. 6 de Lorca, a fin de que, en plazo que no exceda de diez días, se proceda a emplazar a quienes hubieran sido parte en el procedimiento, excepto la parte recurrente en amparo, para que en el plazo de diez días puedan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25 de noviembre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3 de diciembre de 2019,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reiterando a renglón seguido las vulneraciones constitucionales de fondo que aduce en su demanda, e indicando que de celebrarse la subasta y la posible adjudicación del bien inmueble a terceros de buena fe, con “desposesión del bien ejecutado, conllevaría 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11 de diciembre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56.2 de la Ley Orgánica del Tribunal Constitucional (LOTC) y reproducir lo declarado en el ATC 127/2015, de 20 de julio, FJ 1, en relación con la necesidad de acreditar por el interesado la existencia de un perjuicio irreparable, para poder acordarse la suspensión de los actos impugnados en amparo, sostiene el fiscal que en el presente caso, “para conseguir el efecto protector deseado por la recurrente y enervar los indeseados efectos de la paralización del procedimiento que por su propia naturaleza goza de las características de celeridad y sumariedad, se puede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adquirente queda especialmente protegido por su buena fe en la adquisición”. Cita en apoyo de su petición el art. 56.3 LOTC, que permite al Tribunal adoptar toda medida que evite que el recurso de amparo pueda perder su finalidad, así como el ATC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pues “de no adoptarse la medida de anotación preventiva de la demanda, la tutela que pudiera otorgarse por este tribunal no sería completa si se deja abierta la posibilidad de que la finca sea transmitida a un tercero de buena fe mientras se sustancia y resuelve el presente proceso de amparo, por lo que se interesa la anotación preventiva de la demanda en el registro de la propiedad evitando, así, situaciones cuya reversibilidad sería […]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70-2018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70-2018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