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febrero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don Andrés Ollero Tassara, don Santiago Martínez-Vares García, don Alfredo Montoya Melgar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3538-2019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3538-2019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Denegar la suspensión cautelar solicitada del procedimiento de ejecución hipotecaria núm. 392-2018, seguido en el Juzgado de Primera Instancia e Instrucción núm. 5 de Lorca.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6 de junio de 2019, la entidad Penrei Inversiones, S.L., representada por la procuradora de los tribunales doña Blanca Berriatua Horta y bajo la dirección de la letrada doña Anju Nirmala Benavent Rodríguez, interpuso recurso de amparo contra los autos de 21 de septiembre de 2018 y de 23 de abril de 2019, dictados por el Juzgado de Primera Instancia e Instrucción núm. 5 de Lorca, en el procedimiento de ejecución hipotecaria núm. 392-2018, por los que, respectivamente, se inadmite por extemporánea la demanda de oposición formulada y se confirma esta última decisión, tras desestimarse el recurso de reposición interpuesto frente a ella.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relevantes para resolver la pretensión planteada, según se recogen en la demanda,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el Juzgado de Primera Instancia e Instrucción núm. 5 de Lorca se sigue procedimiento de ejecución hipotecaria núm. 392-2018 promovido por la entidad Banco de Sabadell, S.A., frente a las sociedades Euroinversiones Inmobiliarias Costa Sur, S.L., en calidad de prestataria e hipotecante y Penrei Inversiones, S.L., en calidad de titular registral de un derecho de uso y disfrute sobre el inmueble hipotecado, la finca registral 43.242 del Registro de la Propiedad núm. 3 de Lorca.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auto de 6 de junio de 2018 se acordó despachar ejecución frente las sociedades demandadas por la cantidad de 2.248,32 € de principal y 2.400 € presupuestados inicialmente para intereses y costas. El citado auto y el decreto de la misma fecha que le sigue fueron comunicados a las citadas sociedades a través de la sede judicial electrónica el día 13 de junio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 representación legal de Penrei Inversiones, S.L., presentó escrito de oposición a la ejecución despachada con fecha 31 de julio de 2018. Por auto de 21 de septiembre de 2018 se acordó su inadmisión por considerar la pretensión extemporánea, tomando como fecha de notificación el 13 de junio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La sociedad mercantil recurrente interpuso recurso de reposición contra el auto de inadmisión alegando, en síntesis, que las actuaciones de notificación y requerimiento no habían sido realizadas el día 13 de junio de 2018, sino el 24 de julio siguiente, fecha en la que accedió a la web y procedió a su descarga, y que la comunicación remitida a través de la dirección electrónica habilitada no puede entenderse más que un aviso de puesta a disposición o descarga de su contenido durante un plazo determinado (en el caso desde el 13 de junio hasta el 24 de julio de 2018), pues entenderlo de otro modo, además de infringir los arts. 135, 152, 160, 162 de la Ley de enjuiciamiento civil (LEC), vulnera el art. 24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Tras su tramitación, el recurso de reposición fue desestimado por auto de 23 de abril de 2019. Según esta resolución, la recurrente tiene la condición de persona jurídica y, por tanto, está obligada a relacionarse con la administración de Justicia por medios electrónicos, de conformidad con lo previsto en la disposición transitoria cuarta de la Ley 42/2015, de 5 de octubre, de reforma de la Ley 1/2000, de 7 de enero, de enjuiciamiento civil, así como en los arts. 14.2 de la Ley 39/2015 y 273.3 LEC. Según el auto, en el presente caso “consta que la notificación se puso a disposición de las recurrentes en fecha 13 de junio de 2018, no accediendo al contenido hasta el día 24 de julio de 2018 (fuera de los tres días que establece la normativa procesal), presentando los escritos de oposición a la ejecución en fecha 31 de julio de 2018, claramente fuera del plazo legalmente establecido en el art. 556.1 LEC (dentro de los diez días siguientes al de la notificación del auto despachando ejecución) y siendo que, conforme al art. 136 LEC, transcurrido o pasado el término señalado para la realización de un acto procesal de parte se producirá la preclusión y se perderá la oportunidad de realizar el acto de que se trate, es claro que dichas oposiciones son extemporáneas siendo la consecuencia legal la inadmisión”.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demandante de amparo se queja en su recurso de la vulneración de su derecho a la tutela judicial efectiva sin indefensión (art. 24.1 CE) en su vertiente de acceso al proceso. Considera que con la interpretación ofrecida en el auto objeto de impugnación, el juzgado “no ha dado cumplimiento a las exigencias constitucionales reconocidas para los actos de notificación procesal, donde los órganos judiciales no han de limitarse al formal cumplimiento de los requisitos legales, sino que para asegurar la efectividad del derecho fundamental, la interpretación de las normas reguladoras del emplazamiento debe hacerse tratando de asegurar que el acto de comunicación cumple su finalidad constitucional, es decir, la efectividad real del emplazamiento, pues el artículo 24.1 de la Constitución Española contiene un mandato no sólo dirigido al legislador, sino también al intérprete, obligándole a promover la defensa mediante la correspondiente contradicción, tal y como reconoce la sentencia 37/1984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se solicita por medio de segundo otrosí la suspensión de la continuación del procedimiento de ejecución hipotecaria alegando que “con la celebración de subasta y la eventual adjudicación a terceros, pueden hacer perder al recurso de amparo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27 de enero de 2020 la Sección Segunda de este Tribunal acordó admitir a trámite el recurso de amparo y dirigir comunicación al Juzgado de Primera Instancia e Instrucción núm. 5 de Lorca, a fin de que, en plazo que no exceda de diez días emplace a quienes hubieran sido parte en el proceso del que trae causa 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misma fecha, la sección acordó formar la oportuna pieza para la tramitación del incidente de suspensión y, conforme a lo dispuesto en el art. 56 de la Ley Orgánica del Tribunal Constitucional (LOTC), concedió un plazo común de tres días a la parte recurrente y al ministerio fiscal para que alegaran lo que estimasen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presentado el 3 de febrero de 2020 la parte demandante formuló sus alegaciones, reiterando lo expuesto en el otrosí de su demanda y trascribiendo como fundamento de su pretensión lo expresado en parte del ATC 287/2013, de 16 de diciembre.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escrito registrado el 11 de febrero de 2020, el ministerio fiscal se opuso a la pretendida suspensión del procedimiento de ejecución hipotecaria, e interesó que, alternativamente, se acuerde la anotación preventiva de la demanda de amparo en el registro de la propiedad, aunque esta última medida no haya sido solicitada en el recurso. Tras exponer la doctrina de este Tribunal sobre suspensión de resoluciones y actos impugnados, aduce que en el presente caso la petición del demandante no parece muy fundada, sostiene que acordar la suspensión comportaría la paralización del procedimiento ejecutivo, que por su propia naturaleza goza de las características de celeridad y sumariedad. Considera mucho más eficaz la anotación preventiva de la demanda en el registro de la propiedad, pues a través de dicha medida cautelar es posible evitar que un hipotético tercer adquirente del inmueble hipotecado, en virtud de su buena fe registral, quede especialmente protegido, perjudicando así los intereses concernidos.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de suspensión consiste en determinar la procedencia o no de la suspensión cautelar instada por la parte recurrente en amparo y dirigida frente al procedimiento de ejecución hipotecaria núm. 392-2018, seguido en el Juzgado de Primera Instancia e Instrucción núm. 5 de Lorca.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56.2 de la Ley Orgánica del Tribunal Constitucional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 Por esta razón, la pretensión cautelar analizada se configura como una medida de carácter excepcional y de aplicación restrictiva (por todos, AATC 117/2015, de 6 de julio, FJ 1; 59/2017, de 24 de abril, FJ 1, y 177/2019, de 16 de diciembre,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Adicionalmente, este Tribunal viene exigiendo a quien solicita la adopción de la medida cautelar de suspensión del acto o resolución judicial recurrido que alegue, pruebe o justifique, ofreciendo un principio razonable de prueba, la irreparabilidad o dificultad de la reparación de los perjuicios de seguirse la ejecución del acto impugnado, y ello, con el objeto de mostrar que la ejecución del acto recurrido puede privar a la demanda de amparo de su finalidad, provocando que el restablecimiento del recurrente en el derecho constitucional vulnerado sea tardío y convirtiendo en meramente ilusorio y nominal el amparo [AATC 51/1989, de 30 de enero, 290/1995, de 23 de octubre, 370/1996, de 16 de diciembre, 283/1999, de 29 de noviembre, 90/2014, de 27 de marzo, FJ 1; 190/2015, de 5 de noviembre, FJ 2 a); 59/2017, FJ 1; 147/2017, de 13 de noviembre, FJ 1, y 177/2019,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Interesa subrayar que una consolidada doctrina constitucional, de la que son buena muestra, entre otros muchos, los AATC 220/2008, de 14 de julio, FJ 2, y 64/2009, de 23 de febrero, FJ 2, o los más recientes AATC 56/2013, de 13 de febrero, FJ 2; 74/2013, de 8 de abril, FJ 2; 152/2013, de 8 de julio, FJ 2; 282/2014, de 17 de noviembre, FJ 4; 59/2015, de 16 de marzo, FJ 2, y 177/2019, FJ 2, ha admitido la procedencia de acordar la suspensión de aquellas resoluciones judiciales cuya “ejecución conlleva el embargo y adjudicación a un tercero de buena fe de ciertos bienes inmuebles o el desalojo de viviendas o locales de negocio y, en general, la transmisión del dominio sobre aquéllos, con la consiguiente consolidación de una posición jurídicamente inatacable o de muy difícil y costoso restablecimiento”.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al caso aquí planteado de la doctrina a la que se ha hecho mención permite concluir, de acuerdo con lo solicitado por el ministerio fiscal, que resulta improcedente la suspensión solicitada del procedimiento de ejecución hipotecaria y, por el contrario, medida idónea la anotación preventiva de la demanda en el registro de la propiedad.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igual que en procesos de amparo precedentes (AATC 81/2019, de 15 de julio, 148, 155/2019 y 156/2019, de 25 de noviembre, FFJJ 3; y 170/2019, 171/2019, 173/2019, 174/2019, y 177/2019, de 16 de diciembre, FFJJ 3), la parte recurrente se limita a poner de manifiesto, genéricamente, que la eventual adjudicación a terceros puede hacer perder al recurso de amparo su finalidad, sin añadir indicación alguna sobre la situación y circunstancias de la entidad mercantil recurrente, así como sobre las características, destino y estado posesorio del inmueble hipotecado. De las actuaciones judiciales que han sido remitidas por el juzgado se desprende que al solicitarse el amparo el procedimiento se encontraba en la fase inicial, una vez rechazada la oposición a la ejecución. En tales circunstancias no es posible afirmar que la continuación del curso del procedimiento judicial, incluso si se produjera un desplazamiento posesorio, provoque por sí sola un perjuicio determinante de la pérdida de la finalidad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el Tribunal entiende que las circunstancias que presenta el supuesto sometido a consideración llevan a estimar la procedencia de acordar, de modo alternativo, la medida cautelar de anotación preventiva de la demanda de amparo en el registro de la propiedad, en cuanto, como se anticipó, se reputa medida suficiente e idónea para evitar el perjuicio derivado de que la adquisición del bien por tercero lo haga irreivindicable. Esta misma ha sido la solución acogida recientemente, entre otros, en los AATC 148/2019, 155/2019, y 156/2019, FFJJ 3, y 170/2019, 171/2019, 173/2019, 174/2019, y 177/2019, FFJJ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hicimos en el fundamento tercero de los mencionados autos, cabe recordar que se trata de una medida cautelar que este Tribunal, de conformidad con el art. 56 LOTC, puede adoptar de oficio o a instancia de parte, con fundamento en el art. 42.1 de la Ley hipotecaria (AATC 274/2002, de 18 de diciembre, 257/2003, de 14 de julio, 230/2007, de 7 de mayo, FJ 3; 415/2007, de 5 de noviembre, FJ 4, y 28/2009, de 26 de enero, FJ 2), y que, de acuerdo con el ATC 95/2015, FJ 4, “una de cuyas finalidades es que el registro de la propiedad sea fiel trasunto de la realidad jurídica —en este caso, la pendencia del presente proceso constitucional—y, por ende, un eficaz instrumento de seguridad jurídica [ATC 18/2012, de 30 de enero, FJ 4. En la misma línea, AATC 282/2014, de 17 de noviembre, FJ 5; 29/2015, de 16 de febrero, FFJJ 3 y 4; 50/2015, de 2 de marzo, FJ 4, y 59/2015, de 16 de marzo, FJ 3]”. Nuestra decisión en esta materia al ordenar que se practique la anotación preventiva, remite al órgano judicial la práctica de las actuaciones pertinentes para que pueda llevarse a efecto la medida, de conformidad con la legislación procesal e hipotecaria (AATC 257/2003, de 14 de julio, 406/2003, de 15 de diciembre, 230/2007, de 7 de mayo, FJ 3, y 415/2007, de 5 de noviembre, FJ 4, y 217/2012, de 26 de noviembre,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razonamientos anteriores, de conformidad con la doctrina expuesta, y sin prejuzgar la decisión de fondo del recurso, conducen a denegar la suspensión solicitada, y, alternativamente, a ordenar la anotación preventiva de la demanda de amparo en el registro de la propiedad.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Denegar la suspensión cautelar solicitada del procedimiento de ejecución hipotecaria núm. 392-2018, seguido en el Juzgado de Primera Instancia e Instrucción núm. 5 de Lorca.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febrero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