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60-2018,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20 de mayo de 2019, la entidad Euroinversiones Inmobiliarias Costa Sur, S.L., representada por la procuradora de los tribunales doña Blanca Berriatua Horta y bajo la dirección del letrado don Marcelino Gilabert García, interpuso recurso de amparo contra los autos de 17 de septiembre de 2018 y 4 de abril de 2019, dictados en el procedimiento de ejecución hipotecaria núm. 60-2018, por el Juzgado de Primera Instancia e Instrucción núm. 6 de Lorca, por los que, respectivamente, se inadmitió por extemporánea la demanda de oposición formulada y se confirmó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60-2018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núm. 43.319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29 de mayo de 2018 se acordó despachar ejecución frente las sociedades demandadas por la cantidad de 155.233 € de principal e intereses ya vencidos, y 24.040 € más como intereses y costas presupuestados. El citado auto y el decreto de la misma fecha que le sigue fueron comunicados a las citadas sociedades a través de la sede judicial electrónica el día 30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27 de julio de 2018. Por auto de 17 de septiembre siguiente se acordó su inadmisión por considerar la pretensión extemporánea, tomando como fecha de notificación el 30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la vulneración del art. 24 de la Constitución, en el que discutía la fecha de notificación del auto que despachó la ejecución y, por ello, la de vencimiento del plazo para formalizar la oposición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4 de abril de 2019. Según esta resolución, la recurrente tiene la condición de persona jurídica, por lo que desde el 1 de enero de 2017 está legalmente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febrero de 2020, la Sección Primera de este Tribunal acordó admitir a trámite el recurso de amparo y dirigir comunicación al Juzgado de Primera Instancia e Instrucción núm. 6 de Lorca, a fin de que, en plazo que no excediera de diez días procediera a emplazar a quienes hubieran sido parte en el proceso judicial del que trae causa el presente recurso de amparo, para que en igual plazo puedan comparecer, si lo desean,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14 de febrero de 2020, la parte demandante formuló sus alegaciones, reiterando lo expuesto en el otrosí de su demanda y transcribiendo como fundamento de su pretensión lo expresado, en parte, en 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24 de febrero de 2020, el ministerio fiscal se opuso a la pretendida suspensión del procedimiento de ejecución hipotecaria, interesando que, alternativamente, se acuerde la anotación preventiva de la demanda de amparo en el registro de la propiedad, aunque esta última medida cautelar no haya sido solicitada en el recurso. Tras exponer la doctrina de este Tribunal sobre suspensión de resoluciones y actos impugnados, aduce que en el presente caso el demandante no explicita razón alguna que permita afirmar que la continuación del procedimiento judicial, incluso con desplazamiento posesorio, provoque un perjuicio determinante de la pérdida de finalidad del recurso de amparo. Por contra, considera más eficaz la anotación preventiva de la demanda en el registro de la propiedad, pues a través de dicha medida cautelar ya que de esta manera se daría publicidad frente a terceros de la pendencia del recurso de amparo, lo que hace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suspensión cautelar instada por la parte recurrente en amparo y dirigida frente al procedimiento de ejecución hipotecaria núm. 60-2018,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4/2020, 5/2020, 6/2020 y 8/2020, de 27 de enero),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si se produjera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otras, en las resoluciones sobre medidas cautelares que han sido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60-2018,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