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3640-2019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3640-2019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parcialmente la solicitud de suspensión, decretando la suspensión de la ejecución de la sentencia núm. 236/2019, de 23 de abril, dictada por la Sala de lo Civil del Tribunal Supremo en el recurso de casación núm. 4345-2017, formulado contra la dictada por la Sección Duodécima de la Audiencia Provincial de Madrid, en recurso de apelación núm. 184-2017, en lo que se refiere exclusivamente a la publicación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11 de junio de 2019, don Antonio Javier Rodríguez Naranjo interpuso recurso de amparo contra la sentencia núm. 236/2019 de la Sala de lo Civil del Tribunal Supremo, de fecha 23 de abril de 2019, que resuelve el recurso de casación y extraordinario por infracción procesal núm. 4345-2017, interpuesto contra la sentencia dictada el 30 de junio de 2017 por la Sección Duodécima de la Audiencia Provincial de Madrid en el recurso de apelación núm. 184-2017, dimanante de las actuaciones de juicio ordinario núm. 654-2014, del Juzgado de Primera Instancia núm. 1 de Pozuelo de Alarcón, sobre tutela civil del derecho fundamental al honor.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alega la vulneración del derecho a la libertad de expresión [art. 20.1 a) CE], por cuanto no se ha realizado una adecuada ponderación de los derechos fundamentales concernidos desde un punto de vista constitucional, el derecho a la libertad de expresión y el derecho al honor.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demanda se solicita por otrosí la suspensión de la ejecución de la sentencia recurrida, donde se le condena al pago de una indemnización cifrada en 5 000 €, a la publicación íntegra de la sentencia en un medio digital y al pago de las costas. Alega que dicha ejecución haría perder su finalidad al amparo interesado, pues, al encontrarse entre los pronunciamientos contenidos en la sentencia impugnada la referida publicación íntegra, de cumplirse la condena, le causaría un perjuicio irreparable en su credibilidad. Además, la suspensión de la ejecución no irrogaría perjuicio alguno ni para los intereses generales ni en la esfera de los derechos o libertades de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10 de febrero de 2020, la Sección Segunda de este tribunal acordó admitir a trámite el recurso de amparo y, a su vez, dirigir comunicación al Juzgado de Primera Instancia e Instrucción núm. 1 de Pozuelo de Alarcón, a fin de que, en el plazo de diez días, remitiera certificación o fotocopia adverada de las actuaciones correspondientes al procedimiento ordinario núm. 654-2014, y se emplazara a quienes hubieran sido parte en el proceso del que trae causa el presente recurso de amparo, excepto a la parte recurrente en amparo, para que pudieran comparecer, si lo desean, en el presente procedimiento. Asimismo, ordenó la formación de pieza separada para la sustanciación del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febrero de 2020, la referida sección acordó formar, con el testimonio del recurso de amparo, la pieza separada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17 de febrero de 2020, la parte recurrente presentó alegaciones, ampliando las expuestas en la demanda de amparo respecto de la solicitud de suspensión, al atender a los diversos pronunciamientos de condena contenidos en la sentencia impugnada. Así, en relación con la publicación de la sentencia en un medio de comunicación, se aduce que produciría un perjuicio irreparable, real, concreto e irreversible; mientras que, acerca de la suspensión del abono de la indemnización establecida se afirma que el demandante ya se ha resarcido de los anticipos económicos que ha realizado, pues se han abonado los gastos ocasionados con motivo de la asistencia letrada y la representación procesal, añadiendo que la suspensión del pago de la indemnización no supone ningún perjuicio a tercero, ni perturbación de ningún derecho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25 de febrero de 2020, presentó alegaciones interesando la suspensión parcial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diferencia entre los dos pronunciamientos de condena contenidos en la sentencia, el relativo a la indemnización y el atinente a la publicación de la resolución. En relación con el primer aspecto, al tener un contenido “estrictamente económico”, entiende la fiscalía que no debe dar lugar a su suspensión, ya que, de otorgarse el amparo, su cumplimiento sería subsanable “con la mera reversión de la cantidad que hubiere satisfecho previamente”. En cuanto a la publicación, sostiene que debería acordarse la suspensión en tanto se tramita el presente recurso de amparo “para salvaguardar su real efectividad en caso de que se otorgara 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 medida provisional de suspensión de la sentencia recurrida. Considera el demandante de amparo que su ejecución le causaría, en lo que respecta a la publicación de la resolución, un perjuicio irreparable, real, concreto e irreversible si se estimara el recurso de amparo, por cuanto supondría de pérdida de credibilidad; mientras que en relación con el pago de la indemnización, aduce que su suspensión no comportaría perjuicio alguno a tercero ni perturbación de ningún derecho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recordar que, 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(ATC 125/2019, de 28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relación a los perjuicios de carácter patrimonial o económico se ha señalado que, por más que puedan producir efectos desfavorables a quien demanda en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 De ahí que se haya accedido a la suspensión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14 de abril, FJ 2)” (ATC 117/2018, de 29 de octubre, FJ 2; en el mismo sentido AATC 21/2018, de 5 de marzo, FJ 2, y 66/2008, de 25 de febrero,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de suspensión del acto o resolución judicial recurridos que alegue, pruebe o justifique, ofreciendo un principio razonable de prueba, la irreparabilidad o la dificultad de la reparación de los perjuicios que derivarían de seguirse la ejecución del acto impugnado, ya que la ejecución del acto recurrido puede privar a la demanda de amparo de su finalidad, provocando que el restablecimiento del recurrente en el derecho constitucional vulnerado sea tardío y convirtiendo en meramente ilusorio y nominal el amparo (ATC 87/2019, de 15 de julio, FJ 2,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este tribunal comparte la opinión del fiscal sobre la necesidad de diferenciar el tratamiento que merece cada uno de los pronunciamientos contendidos en la resolución que se pretende ejecutar.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vertiente de contenido estrictamente económico, la ejecución de la resolución judicial supone abonar la cantidad de 5 000 € en concepto de indemnización. El recurrente alega que su suspensión no comporta perjuicio alguno a tercero ni perturbación de algún derecho constitucionalmente protegido. Sin embargo, no acredita la irreparabilidad o la dificultad de la reparación de los perjuicios que derivarían de seguirse la ejecución del acto impugnado, como se viene exigiendo por este tribunal. En tales circunstancias y dada la facilidad para subsanar esta actuación mediante la devolución de la cantidad satisfecha si finalmente se estima este recurso de amparo, no procede acordar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valoración diversa ha de tener la publicación íntegra de la sentencia en un medio digital, supuesto de hecho en el que, normalmente, se concede la suspensión a la vista de las dificultades de reparar los daños que pudiera causar, particularmente, por la pérdida de credibilidad del afectado, como alega el demandante de amparo. Este tribunal, entre otras resoluciones, en el muy reciente ATC 73/2019, de 15 de julio, ha vuelto a declarar que es “criterio constante y consolidado, la suspensión de la publicación en un medio de comunicación de una rectificación o del encabezamiento y fallo de una sentencia (ATC 123/1996, de 20 de mayo)” (FJ 2). En tal sentido, entendemos que tal publicación puede ocasionar un perjuicio en la credibilidad del medio o del profesional afectado que haga perder al amparo su finalidad, caso de ser otorgado (AATC 98/1983, 179/1984, 574/1985, 116/1990, 239/1990, 25/1991, 237/1994, 327/1994, 10/1995, 165/1995, 123/1996, 135/1996 y 84/1997). Por consiguiente, procede acordar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anteriores, de conformidad con la doctrina expuesta, y sin prejuzgar la decisión de fondo del recurso, conducen a conceder en parte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parcialmente la solicitud de suspensión, decretando la suspensión de la ejecución de la sentencia núm. 236/2019, de 23 de abril, dictada por la Sala de lo Civil del Tribunal Supremo en el recurso de casación núm. 4345-2017, formulado contra la dictada por la Sección Duodécima de la Audiencia Provincial de Madrid, en recurso de apelación núm. 184-2017, en lo que se refiere exclusivamente a la publicación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