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marzo de 2020, el procurador de los tribunales don Luis Fernando Granados Bravo, en nombre y representación de don Jordi Cuixart Navarro, interpuso recurso de amparo contra: i) la sentencia núm. 459-2019, de 14 de octubre, de la Sala Segunda del Tribunal Supremo, en cuya virtud el recurrente resultó condenado como autor de un delito de sedición de los arts. 544 y 545.1 del Código penal (CP), a las penas de nueve años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ii) y el auto del mismo órgano judicial, de fecha 29 de enero del 2020, que desestimó los incidentes de nulidad de actuaciones formulados contra aquella, entre ellos el interpuesto por el recurrente de amparo. El recurso de amparo fue registrado con el núm. 1474-2020.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alegaron las vulneraciones de los siguientes derechos: al juez predeterminado por la ley [arts. 24.2 CE y 6.1 del Convenio europeo para la protección de los derechos humanos y de las libertades fundamentales (CEDH)], al juez independiente e imparcial (arts. 24.2 CE y 6 CEDH), de reunión (arts. 21 CE y 11 CEDH), a la legalidad penal (art. 25 CE y 7 CEDH) y a la libertad personal (art. 17 CE) por desviación de poder (art. 18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interesó que, conforme a lo dispuesto en el art. 56 de la Ley Orgánica del Tribunal Constitucional (LOTC), se acordara la suspensión cautelar de la pena. En apoyo de esa solicitud, tras hacer mención de la doctrina constitucional (ATC 155/2017, de 21 de noviembre) argumenta que la privación de libertad se alarga ya más de tres años y medio y que, aunque se trata de una pena “grave”, esta misma gravedad, es decir, la extensión de la pena, “es objeto de discusión en el presente recurso de amparo con lo que sería algo perverso jurídicamente que el criterio que se discute mediante este procedimiento sea utilizado como criterio único para justificar la prolongación de libertad” del señor Cuixart, siendo reconocido internacionalmente que el trato penal dado al recurrente es desproporcionado. Añade que no puede obviarse la actual discusión, impulsada por el Gobierno, sobre la revisión de las penas del delito de sedición así como el sentimiento mayoritario en Cataluña, y con un importante respaldo internacional, a favor de la amnistía para los independentistas perseguidos judicialmente, entre los que se encuentra el recurrente, no habiendo ninguna víctima de los hechos imputados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27 de marzo de 2020, la representación procesal del recurrente reiteró la solicitud de medida cautelar con invocación del art. 56.6 LOTC, añadiendo a lo dicho en la demanda que la situación de emergencia sanitaria provocada por la pandemia de la Covid-19 exige la inmediata excarcelación, tal y como ha recomendado la alta comisionada para los derechos humanos de Naciones Unidas. Agrega que don Jordi Cuixart ha venido respetando el régimen penitenciario de semilibertad que le permitía, antes de su interrupción por la pandemia, salir diariamente durante doce horas para dirigir la empresa de la que es titular, lo que revela que no existe riesgo alguno de incumplimiento de la condena si el demandante es puesto en libertad durante la tramitación del recurso de amparo. Termina dicho escrito suplicando la “suspensión de la pena privativa de libertad hasta el dictado de la sentencia del presente proceso de amparo constitucional o, subsidiariamente, la suspensión de la pena privativa de libertad con obligación de confinamiento domiciliario en su domicilio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fecha 6 de mayo del 2020, el Pleno de este tribunal acordó la admisión a trámite del presente recurso de amparo y recabó para sí el conocimiento del mismo. Al no apreciar la urgencia excepcional exigida por el art. 56.6 LOTC, se rechazó acordar la suspensión inaudita parte y de forma inmotivada. Asimismo, de conformidad con lo prevenido en el art. 56 LOTC, por providencia de la misma fecha se resolvió conceder un plazo común de tres días al Ministerio Fiscal y al solicitante del amparo, para que, dentro de dicho término, aleguen lo que estimen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11 de mayo del 2020, el demandante de amparo presentó ante este tribunal escrito de alegaciones. En primer lugar, reitera los argumentos expuestos en la demanda para interesar la suspensión, por lo que vuelve a incidir en la pérdida de la finalidad del recurso de amparo, dado el extenso periodo de tiempo que ha permanecido privado de libertad, que se extiende hasta los dos años y ocho meses, a lo que se añade la cuestión litigiosa sobre la extensión de la pena, su calificación internacional como desproporcionada y actual discusión, impulsada por el Gobierno, sobre la revisión de las penas del delito de sedición. Seguidamente insiste en el motivo sobrevenido relativo a la situación de emergencia sanitaria provocada por la pandemia de la Covid-19, en los términos del escrito anterior. A lo anterior agrega que el grupo de trabajo de detenciones arbitrarias dependiente del Consejo de derechos humanos de Naciones Unidas, en una decisión de 25 de abril de 2019, ha declarado que las acciones de los señores Cuixart, Sánchez y Junqueras no fueron violentas, sino que “consistieron en el ejercicio pacífico de los derechos de libertad de opinión, de expresión, asociación, reunión y participación”, por lo que su detención es arbitraria, de lo que se sigue el remedio adecuado sería su inmediata puesta en libertad. Finalmente, insiste en la ausencia de riesgo de fuga, puesto que el recurrente ha venido respetando el régimen penitenciario de semilibertad ratificado por el Juzgado de Vigilancia Penitenciaria.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13 de mayo de 2020, la representación procesal del recurrente presentó un nuevo escrito en el que pone de manifiesto que este mismo día se había hecho público un informe emitido por Amnistía Internacional, que acompaña al referido escrito, en el que dicho organismo hace una llamada a las autoridades nacionales para que el señor Cuixart sea puesto en liberad de forma inmediata y se garantice “un proceso que permita anular la condena por sedición ya que dicha pena supone una sanción excesiva y desproporcionada que se deriva del ejercicio de su derecho a la libertad de expresión y reunión pacífica”.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14 de mayo de 2020, el fiscal ante el Tribunal Constitucional presentó sus alegaciones. Tras identificar las resoluciones impugnadas en el presente recurso de amparo, señalar que el demandante ingresó en prisión provisional el 17 de octubre de 2017 y los permisos penitenciarios de que ha disfrutado y detallar las vulneraciones de los derechos fundamentales alegadas en la demanda, trae a colación la petición de suspensión cautelar de los efectos de la referida sentencia, interesada por otrosí al amparo de lo dispuesto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pone de relieve los principales aspectos de la doctrina constitucional respecto de la suspensión cautelar regulada en el mencionado art. 56 LOTC; concretamente, el carácter excepcional y restrictivo de esa medida, cuyo otorgamiento queda condicionado porque la ejecución del acto o sentencia cause perjuicios irreparables, de manera que la resolución que recaiga en el recurso de amparo quede desprovista de toda virtualidad para restablecer los derechos fundamentales cuya vulneración se alega; que la suspensión interesada no ocasione una perturbación grave a un interés constitucionalmente protegido ni a los derechos fundamentales o libertades de terceros; y que corresponde al recurrente acreditar la existencia de los perjuicios de esa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expone la doctrina de este tribunal en relación con la suspensión cautelar de las penas privativas de libertad, (con cita expresa de los AATC 146/2001, 22/2002, 530/2004 y 320/2006) que sintetiza del siguiente modo: el criterio de gravedad de la pena impuesta aparece directamente conectado con la reprobación del ordenamiento al ataque al bien jurídico protegido y opera como parámetro valorativo de la perturbación que la suspensión del cumplimiento de la pena de prisión puede comportar para la seguridad jurídica. Por ello, el Tribunal Constitucional ha establecido, como criterio rector, para poder otorgar prevalencia al perjuicio que resulta de la ejecución de la pena privativa de libertad, que la extensión de la misma sea inferior a cinco años, sin perjuicio de tomar en consideración otros factores para valorar la procedencia de la suspensión, incluso aunque la pena privativa de libertad sea inferior al límite de los cinco años indicado. Menciona específicamente al ATC 93/2018, de 17 de septiembre, FJ 2, que trascribe parcialmente.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refiere el fiscal a la doctrina constitucional relativa a la suspensión de las penas accesorias y pronunciamientos de contenido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presente caso, toma en consideración la extensión de la pena de prisión impuesta al recurrente (nueve años), que casi duplica el límite de los cinco años a que se ha hecho referencia, así como que, descontando el tiempo de privación de libertad sufrido con carácter preventivo, el tiempo restante sigue estando fuera del marco temporal que posibilitaría la suspensión, con cita de los AATC 112/2011, de 18 de julio, FJ 1, y 145/2017, de 13 de noviembre, FJ 2. Ello sin perjuicio de que, como señala el ATC 47/1998, de 24 de febrero, resulte procedente resolver el recurso de amparo en el plazo más breve posible, incluso anteponiéndolo en el orden de señalamientos, una vez concluida su tramitación. Finalmente, en cuanto a la suspensión de penas accesorias y costas, el fiscal, aun cuando reconoce que el recurrente parece aludir únicamente a la suspensión de la pena privativa de libertad, con cita de los AATC 44/2012, de 12 de marzo, y 113/2009, de 20 de abril, considera que resulta improcedente, puesto que las consecuencias económicas son reparables y las penas accesorias han de seguir la suerte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fiscal solicita la desestimación de la solicitud de la medida 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 pena privativa de libertad impuesta al demandante en la sentencia de la Sala de lo Penal del Tribunal Supremo núm. 459-2019, de 14 de octubre, en cuya virtud el demandante resultó condenado como autor de un delito de sedición de los arts. 544 y 545.1 CP, a las penas de nueve años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Admitido a trámite el recurso tras apreciar que concurre en el mismo una especial trascendencia constitucional (art. 50.1 de la Ley Orgánica del Tribunal Constitucional: LOTC) porque plantea un problema o afecta a una faceta de un derecho fundamental sobre el que no hay doctrina de este tribunal [STC 155/2009, FJ 2 a)], descartada la adopción inaudita parte de medidas cautelares al no apreciar la urgencia excepcional alegada, y una vez oído el Ministerio Fiscal, debe resolverse ahora la solicitud cautelar que ha sido formulada al amparo de lo previsto en el artículo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refleja en los antecedentes de esta resolución, la petición de medida cautelar solo se proyecta sobre la pena de prisión, sin que se efectúe alegación alguna respecto de la pena de inhabilitación absoluta y el pronunciamiento sobre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CP],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expresamente se refiere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recurrente alega que, para el caso de que no se acuerde la suspensión interesada, el recurso de amparo perdería su finalidad, con base en un parámetro objetivo, a saber, el periodo de tiempo total que ha estado privado de libertad por el procedimiento penal. También refiere la importancia de evitar la ejecución de una condena que considera desproporcionada, cuestión que constituye una de las quejas objeto de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ha quedado expuesto anteriormente, el tiempo de privación de libertad ya consumido es un factor a tener en cuenta, de cara a valorar la procedencia de la suspensión de las penas de prisión. Por ello, en algunas ocasiones este tribunal ha detraído ese previo cumplimiento de la cuantía de la pena impuesta en sentencia, de suerte que, a los efectos indicados, solo tomó en consideración el tiempo de prisión que aún restaba por cumplir. Por otro lado, es notorio que entre la admisión a trámite y la definitiva sustanciación de un recurso de amparo necesariamente debe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y 127/2001, de 21 de mayo, FJ 2, resoluciones estas que justificaron la paralización de la ejecución de las penas de prisión (en ambos casos,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a que se ha hecho referencia, cumple afirmar que, dada la notable extensión de la pena impuesta (nueve años de prisión), el tiempo de privación de libertad ya cumplido carece de entidad para justificar la suspensión interesada en el escrito, puesto que el periodo de tiempo que restaría por cumplir excede con creces de los cinco años de prisión que, como directriz de carácter general, contempla nuestra doctrina. Igual conclusión cabe alcanzar si, además, se toma en consideración el tiempo que podría tardarse en finiquitar el presente recurso. En este estadio inicial no se vislumbra que este último factor, unido a la fracción de pena ya cumplida, pueda originar perjuicios tales que, de no accederse a la suspensión interesada, el recurso interpuesto pierda su finalidad. Por tanto, de acuerdo con lo expuesto debemos rechazar que, en el caso que ahora nos ocupa, concurran las excepcionales circunstancias que habilitan la suspensión de una pena de prisión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último, hemos de señalar que el hecho de que el recurrente no se haya sustraído a la acción de la administración de justicia y que, incluso, haya venido disfrutando de un régimen penitenciario de semilibertad, no contradice la conclusión anterior. Como ha quedado reflejado, una de las variables a tener en cuenta, de cara a resolver sobre la suspensión cautelar de las penas de prisión, es el eventual riesgo de eludir la acción de la justicia que pueda existir (además del ATC 95/2019, ya citado, los AATC 22/2009, de 26 de enero, FJ 2; 150/2013, de 8 de julio, FJ 1, y 19/2014, de 27 de enero, FJ 3, entre otros). Sin embargo, el hecho de que tal peligro no concurra no determina que dicha medida deba otorgarse sin más. Como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para que proceda la suspensión del cumplimento de las privativas de libertad, pero no suficiente por sí sola, pues conforme a la doctrina establecida por este tribunal también deben concurrir los restantes requisitos en ella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de acuerdo a los argumentos expuestos, concluimos que la notable magnitud de la pena de prisión impuesta al demandante, dato este que, conforme a la doctrina constitucional anteriormente reflejada expresa el reproche que el legislador asigna al hecho delictivo por su gravedad, transcendencia social y la relevancia del bien jurídico protegido, constituye un factor determinante de la preservación del interés general que, en el presente caso, conduce a no paralizar cautelarmente en esta sede constitucional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también invoca, como motivo de suspensión de la pena impuesta, la necesidad de evitar la ejecución de una condena vulneradora de sus derechos fundamentales. Además de la cuestión relativa a desproporción de la pena con vulneración del art. 25.1 CE, introduce aquí las declaraciones de ciertos organismos que postulan su excarcelación como el grupo de trabajo de detenciones arbitrarias de Naciones Unidas y Amnistía Internacional, de las que se ha dejado constancia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alegada vulneración de sus derechos fundamentales que el demandante atribuye a la sentencia recurrida tampoco puede sustentar la paralización cautelar de sus efectos. En orden a resolver sobre la medida de suspensión cautelar, este tribunal excluye la toma en consideración de la denominada “apariencia de buen derecho” o “fumus boni iuris”, en tanto que ello supondría anticipar una respuesta sobre el fondo. Esta doctrina ha sido recientemente reiterada en el ATC 16/2019, de 12 de marzo, FJ 3 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en línea con el citado ATC 55/2018, de 22 de mayo, FJ 2, que la anticipación del fallo que la verificación de la concurrencia de la apariencia de buen derecho exige, resulta tanto más difícil en cuanto el recurso de amparo —como ocurre en el caso presente— verse sobre aspectos o facetas de los derechos fundamentales invocados acerca de los cuales el tribunal no ha tenido aún ocasión de pronunciarse.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acuerdo con la fundamentación expuesta, la verosimilitud de las quejas, que, tras un enjuiciamiento preliminar, ha determinado la admisión a trámite del recurso de amparo, carece de virtualidad para fundar la suspensión cautelar interesada. Esta es la razón por la que no hemos de considerar aquí los fundamentos de las alegaciones contenidas en la demanda ni las declaraciones efectuadas por el grupo de trabajo de detenciones arbitrarias dependiente del Consejo de derechos humanos de Naciones Unidas —en una opinión de 25 de abril de 2019, anterior a la condena frente a la que se dirige el recurso de amparo y que versaba sobre la privación cautelar de libertad— y por Amnistía Internacional, traídas a lo colación en los escritos presentados por la representación procesal de don Jordi Cuixart.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los escritos de alegaciones de 27 de marzo y 11 de mayo de 2020 se apunta, como circunstancia sobrevenida que justifica el otorgamiento de la medida cautelar, la pandemia provocada por el Covid-19 que aún persiste, y que, a juicio del demandante de amparo, exige su inmediata excarcelación al suponer su situación de privación de libertad un peligro para para su salud dado “el riesgo especialmente alto de propagación del coronavirus en los centros penitenciarios”.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cuestión previa, afirmamos que, en este trámite incidental, solo procede dilucidar sobre la medida cautelar solicitada y, en consecuencia, nuestra respuesta debe circunscribirse a la valoración de la eventual pérdida del objeto del recurso de amparo, como aspecto determinante del otorgamiento o denegación de esa medida cautelar. Por tanto, desde esa perspectiva nos pronunciaremos sobre la alegación relativa la pandemia de Covid-19 que, como motivo adicional de suspensión cautelar del cumplimiento de la pena privativa de libertad, invoca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como punto de partida, hemos de reparar en que la circunstancia de que se trata resulta en principio ajena al objeto de este incidente cautelar y debe tener obtener una primera respuesta en el ámbito penitenciario, en tanto atañe al régimen de internamiento en un centro penitenciario en cumplimiento de una pena e incide en el deber de la administración penitenciara de velar por la salud de los internos (art. 3.4 de la Ley Orgánica 1/1979, de 26 de septiembre, general penitenciaria). Por otra parte, la alegación del recurrente se funda en una afirmación fáctica que no está justificada y que aparece contradicha por su propia afirmación sobre la interrupción, a raíz de la pandemia, desde 17 de marzo hasta el 15 de abril de 2020, del régimen de semilibertad del que venía disfrutando. Si esa suspensión temporal de las salidas diarias obedeció, como respuesta a la pandemia del Covid-19, a la protección de la salud propia y de la de los demás ciudadanos, en buena lógica, la situación de excarcelación completa pretendida habría de comportar un aumento del riesgo que trató de mitigarse.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Conforme a lo establecido en el art. 56.1 LOTC, no basta con que la ejecución del acto o sentencia impugnados en el recurso de amparo origine cualesquiera perjuicios al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del acto o sentencia de que se trate,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resuelto por el auto objeto de cita, se desestimó el alegato de sobrevenida vulneración del derecho reconocido en el art. 23 CE, para el caso de no ser acordada la suspensión de la prisión provisional, con base en el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 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 notorio que el perjuicio a que alude el demandante no está conectado a las resoluciones objeto de impugnación en la demanda principal, sino a la pandemia a que se ha hecho referencia; y los derechos cuya vulneración potencial se alega para justificar la suspensión de la sentencia impugnada son diferentes de los que se invocan en la demanda principal. Siendo así, no corresponde a este tribunal dilucidar, y menos aún en este trámite incidental, sobre la procedencia de la excarcelación interesada por esa razón. Un pronunciamiento de este tribunal sobre este particular supondría ignorar la naturaleza subsidiaria del recurso de amparo, al no impugnarse en esta sede una previa resolución judicial denegatoria de ese pedimento.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