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abril de 2019, el procurador de los tribunales don Manuel Joaquín Bermejo González, en nombre y representación de don Juan Carlos Capelo Mainar, y bajo la dirección de la letrada doña Raquel Segovia Sañudo, interpuso recurso de amparo contra el auto de la Sección Decimoprimera de la Audiencia Provincial de Madrid de 25 de febrero de 2019 por el que se desestima el recurso de apelación núm. 676-2018 interpuesto contra el auto del Juzgado de Primera Instancia núm. 19 de Madrid de 10 de julio de 2018, pronunciado en el procedimiento de ejecución de títulos judiciales núm. 9-2018, por el que se acuerda desestimar la oposición 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del auto judicial impugnado alegando que el lanzamiento de su vivienda habitual le supone un perjuicio grave e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15 de junio de 2020,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7 de julio de 2020, presentó alegaciones interesando que se acuerde la suspensión, ya que, tratándose del lanzamiento de un inmueble que constituye el domicilio del demandante el perjuicio que se le produciría es, conforme a la jurisprudencia constitucional, irreparable por suponer la pérdida inmediata de la posesión y disfrute del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28 de junio de 2020, pone de manifiesto que el incidente de ejecución ya carece de objeto, toda vez que el lanzamiento se ejecutó el 7 de junio de 2019.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objeto de esta pieza de suspensión consiste en determinar la procedencia o no de la medida cautelar instada por el demandante en amparo consistente en que se suspenda la ejecución de una decisión judicial por la que, una vez denegadas las causas de oposición a la ejecución de un título judicial dictado en un juicio verbal de desahucio, se acordó el lanzamiento del inmueble que constituía su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ha puesto de manifiesto en su escrito de alegaciones que el lanzamiento se ejecutó el 7 de junio de 2019. Por tanto, de conformidad con lo que también informa el propio interesado y con la jurisprudencia constitucional consolidada sobre la pérdida de objeto de los incidentes de ejecución en relación con resoluciones que ya han consumado sus efectos (así, AATC 110/2008, de 14 de abril, y 241/2013, de 21 de octubre), debe acordarse el archivo del presente incidente de ejecución por carencia sobrevenida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