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6093-2019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6093-2019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284-2018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octubre de 2019, tuvo entrada en el registro general de este Tribunal Constitucional un escrito de la procuradora doña Blanca Berriatua Horta, en representación de la entidad Penrei Inversiones, S.L., por el que interpuso recurso de amparo contra el auto de 21 de septiembre de 2018 del Juzgado de Primera Instancia e Instrucción núm. 5 de Lorca, que inadmitió el escrito de oposición a la ejecución hipotecaria promovida por Banco de Sabadell, S.A.; y contra el auto del mismo juzgado, de 10 de septiembre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septiembre de 2018, el juzgado de primera instancia e instrucción ya indicado dictó un auto en el procedimiento de ejecución hipotecaria núm. 284-2018 por el que acordó: “Inadmitir a trámite la oposición formulada por la parte ejecutada Penrei Inversiones, S.L., Euro Inversiones Inmobiliarias Costa Sur, S.L., […] por estar presentada fuera de plazo”,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de la Ley de enjuiciamiento civil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10 de septiembre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el presente caso,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 2 a) de la Ley 39/2015 del procedimiento administrativo común de las administraciones públicas (LPACAP) y art. 273.3 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afirmar que “[i]nterpretan las recurrentes de forma errónea la normativa aplicable”, con cita de los arts. 162.2 LEC, 33.2 y 34 de la Ley 18/2011, de 5 de julio, reguladora del uso de las tecnologías de la información y comunicación en la administración de justicia, y el art. 11.2 del Real Decreto 1065/2015, de 27 de noviembre, sobre comunicaciones electrónicas en la administración de justicia y en el ámbito territorial del Ministerio de justicia y por el que se regula el sistema LexNet; y referirse al acuerdo no jurisdiccional del Pleno de la Sala Cuarta del Tribunal Supremo de 6 de julio de 2016, acerca del cómputo del plazo de tres días del art. 162.2 LEC, así como a un informe del Colegio de Registradores de la Propiedad en relación con las notificaciones electrónicas, el juzgado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09 de mayo de 2018 no accediendo al contenido hasta el día 24 de junio de 2018 (fuera de los diez días que establece la normativa procesal), presentando los escritos de oposición a la ejecución en fecha 09 de julio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(sic)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Ley de enjuiciamiento civil.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importante hacer mención a la “recientísima sentencia del Tribunal Constitucional STC 47/2019, de 8 de abril de 2019, que no solo confirma todo lo dicho hasta ahora en el presente recurso de amparo, sino que lo refuerza, en el sentido de que en modo alguno debe entenderse que, tratándose del emplazamiento, este no se efectúe en el domicilio como impone el artículo 155.1 de la Ley de Enjuiciamiento Civil”, sin que a ello obste la argumentación dada por el auto que inadmite la oposición; pasando a reproducir pasajes de los fundamentos jurídicos 2 a 5 de dicha STC 47/2019.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10 de septiembre de 2019 que desestimó la reposición, se rechaza por la recurrente que los preceptos citados por el juzgado fundamenten su decisión, en cuanto “no es menos cierto que, en ningún precepto de la Ley de enjuiciamiento civil se diga que al proceso civil se le aplican las normas del proceso administrativo, ni existe ningún precepto en ninguna otra norma que otorgue a la normativa del proceso administrativo el mismo rango o aplicabilidad que puedan tener la norma procesal civil, la penal, la contencioso-administrativa o la social, que disponen de regulación específica a través de normas concretas, puesto que, mientras la administrativa regula un tipo de procedimiento específico, las otras hacen referencia a procesos que se plantean ante tribunales de justicia, que aunque forman parte de la ‘administración’, tienen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aquéllas, a fin de que el juzgado a quo admita a trámite la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solicitó la suspensión de la continuación del procedimiento de ejecución hipotecaria 284-2018 seguido ante el Juzgado de Primer Instancia e Instrucción número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30 de octubre de 2019 solicitando al juzgado a quo la remisión de certificación o fotocopia adverada de las actuaciones correspondientes del procedimiento de ejecución hipotecaria núm. 284-2018.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15 de junio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Constando testimonio de la ejecución hipotecaria núm. 284-18 del Juzgado de Primera Instancia e Instrucción número 5 de Lorca, en el recurso conexionado núm. 6079-19, y en aplicación de lo dispuesto en el art. 51 LOTC, diríjase atenta comunicación a dicho juzgado a fin de que, en plazo que no exceda de diez días, emplace, para que en el plazo de diez días puedan comparecer, si lo desean, en el presente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Fórmese pieza separada para la tramitación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15 de junio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24 de junio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sus AATC 21/2018 de 5 de marzo, y 58/2018 de 4 de junio, reiterando a renglón seguido las vulneraciones constitucionales de fondo que aduce en su demanda, e indicando que de no adoptarse la medida y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29 de junio de 2020,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 LOTC y doctrina general sobre la procedencia de la suspensión del acto impugnado en amparo, señala que este tribunal ha establecido como criterio general, “que no procede suspender la ejecución de aquellos fallos judiciales que admiten la restitución íntegra de lo ejecutado (como de ordinario ocurre, aunque no sin excepciones, en las condenas de contenido patrimonial)”. Que no obstante ello, “tampoco las condenas de contenido patrimonial pueden quedar absolutamente marginadas de la posibilidad de suspenderse, habrá que valorar en estos casos, con especial énfasis que no se produzca perjuicio para el interés general, lo que normalmente no ocurrirá en los pleitos puramente civiles, y de manera más concreta que no se acabe implicando los derechos presentes o futuros de terceros que puedan acabar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la doctrina a la solicitud formulada por la recurrente, se entiende por el fiscal que la misma “no parece muy fundamentada […] ya que se limita a la mera petición sin explicitar ninguna razón. Acordar la suspensión solicitada comportaría la drástica medida que supondría la paralización del procedimiento ejecutivo, que por su propia naturaleza goza de las características de celeridad y sumariedad. Mucho más eficaz para conseguir el efecto protector deseado por la recurrente sería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queda (sic) especialmente protegido por su buena fe en la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no tiene dudas de que este tribunal puede acordar dicha medida, ex art. 56.3 LOTC, conforme tiene establecido nuestra doctrina, con cita del ATC 95/2015, de 25 de mayo, FJ 4. Entiende que “nos encontramos en uno de esos supuestos en que tratándose de un (sic)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284-2018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donde se plantearon los mismos argumentos que aquí para solicitar la suspensión por la otra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 en relación con el presente recurso de amparo instado por la entidad Penrei Inversiones, S.L.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284-2018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