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5128-2019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378-2018,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septiembre de 2019, la entidad Penrei Inversiones, S.L., representada por la procuradora de los tribunales doña Blanca Berriatua Horta y bajo la dirección de la letrada doña Anju Nirmala Benavent Rodríguez, interpuso recurso de amparo contra los autos de 21 de septiembre de 2018 y de 25 de junio de 2019, dictados por el Juzgado de Primera Instancia e Instrucción núm. 5 de Lorca, en el procedimiento de ejecución hipotecaria núm. 378-2018, por los que, respectivamente, se inadmite por extemporánea la demanda de oposición formulada a la ejecución hipotecaria y se confirma aquella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Juzgado de Primera Instancia e Instrucción núm. 5 de Lorca se sigue procedimiento de ejecución hipotecaria núm. 378-2018 promovido por la entidad Banco de Sabadell, S.A., frente a las sociedades Euroinversiones Inmobiliarias Costa Sur, S.L., en calidad de prestataria e hipotecante, y Penrei Inversiones, S.L., en calidad de titular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Admitida a trámite la demanda y despachada la ejecución, el día 18 de junio de 2018 se notificó y requirió a ambas ejecutadas a través de la sede judicial electrónica, que en fecha 31 de julio de 2018 y 4 de septiembre de 2018 presentaron oposición a la ejecución hipotecaria aduciendo que la comunicación recibida el día 18 de junio no constituía, a su juicio, una notificación o requerimiento en legal forma sino solo un aviso de la puesta a disposición de una notificación electrónica que puede descargarse en un plazo determinado. El auto de 21 de septiembre de 2018 inadmitió la oposición a la ejecución, siendo confirmado en reposición por el auto de 25 de junio de 2019, que dispuso que, al ser indiscutible la condición de personas jurídicas de las recurrentes, “las mismas desde el 1 de enero de 2017 [disposición transitoria cuarta de la Ley 42/2015, de 5 de octubre, de reforma de la Ley de enjuiciamiento civil (LEC)] están obligadas a relacionarse con la administración de justicia por medios electrónicos [art. 14.2 a) de la Ley 39/2015 del procedimiento administrativo común de las administraciones públicas (LPACAP) y art. 273.3 a) de la LEC]”. Y resultando que la notificación “se puso a disposición de las recurrentes en fecha 18 de junio de 2018 no accediendo al contenido hasta el día 25 de julio de 2018 (fuera de los tres días que establece la normativa procesal), presentando los escritos de oposición a la ejecución en fecha 31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se trae,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 cita de la STC 47/2019, de 8 de abril, se queja en su recurso de amparo de la vulneración del art. 24.1 y 2 CE, al no haberle sido notificado con las debidas garantías, sin causar indefensión, el primer acto de comunicación procesal o emplazamiento con ocasión de la demanda de ejecución hipotecaria, otorgándose efecto a la remisión de un correo electrónico que carecería, a su parecer, de los requisitos esenciales para considerarlo un acto de notificación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con la interpretación ofrecida en las resoluciones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junio de 2020, la Sección Cuarta de este tribunal acordó admitir a trámite el recurso de amparo y dirigir comunicación al Juzgado de Primera Instancia e Instrucción núm. 5 de Lorca, a fin de que, en plazo que no excediera de diez días, emplazase a quienes hubieran sido parte en el proceso del que trae causa el presente recurso de amparo, excepto a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9 de julio de 2020, la parte demandante formuló sus alegaciones, reiterando lo expuesto en el otrosí de su demanda y trascribiendo como fundamento de su pretensión lo expresado en parte en el ATC 58/2018, de 4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15 de julio de 2020, el Ministerio Fiscal se opuso a la pretendida suspensión del procedimiento de ejecución hipotecaria, e interesó que, alternativamente, se acordase la anotación preventiva de la demanda de amparo en el registro de la propiedad. Tras exponer la doctrina de este tribunal sobre suspensión de resoluciones y actos impugnados, aduce que en el presente caso la petición del demandante no se funda en ninguna razón que permita afirmar que la continuación del procedimiento judicial, incluso con desplazamiento posesorio, provoque un perjuicio determinante de la perdida de la finalidad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378-2018,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177/2019, de 16 de diciembre, FJ 2, o, en fecha más próxima, ATC 27/2020, de 24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[entre otros muchos, AATC 190/2015, de 5 de noviembre, FJ 2 a); 59/2017, FJ 1; 147/2017, de 13 de noviembre, FJ 1, y 177/2019, FJ 2, o, recientemente, ATC 38/2020, de 9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(como los más recientes, AATC 282/2014, de 17 de noviembre, FJ 4; 59/2015, de 16 de marzo, FJ 2; 177/2019, FJ 2, o 30/2020, de 24 de febrero,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si se produjera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378-2018,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