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21 de septiembre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3562-2019, promovido por Euroinversiones Inmobiliarias Costa Sur, S.L., representada por la procuradora de los tribunales doña Blanca Berriatua Horta y bajo la dirección del letrado don Marcelino Gilabert García, contra los autos de 21 de septiembre de 2018 y de 22 de abril de 2019, dictados por el Juzgado de Primera Instancia e Instrucción núm. 5 de Lorca, en el procedimiento de ejecución hipotecaria núm. 291-2018. Han intervenido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junio de 2019, la entidad Euroinversiones Inmobiliarias Costa Sur, S.L., representada por la procuradora de los tribunales doña Blanca Berriatua Horta y bajo la dirección del letrado don Marcelino Gilabert García, interpuso recurso de amparo contra los autos de 21 de septiembre de 2018 y de 22 de abril de 2019, dictados por el Juzgado de Primera Instancia e Instrucción núm. 5 de Lorca, en el procedimiento de ejecución hipotecaria núm. 291-2018, por los que, respectivamente, se inadmitó por extemporánea la demanda de oposición formulada y se confirmó esta última decisión, tras desestimarse el recurso de reposición interpuesto frente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5 de Lorca se sigue procedimiento de ejecución hipotecaria núm. 291-2018 promovido por la entidad Banco de Sabadell, S.A., frente a las sociedades Euroinversiones Inmobiliarias Costa Sur, S.L., en calidad de prestataria e hipotecante, y Penrei Inversiones, S.L., en calidad de titular registral de un derecho de uso y disfrute sobre el inmueble hipotecado, la finca registral 43.290 del Registro de la Propiedad núm. 3 de 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9 de mayo de 2018 se acordó despachar ejecución frente a las sociedades demandadas por la cantidad de 2248,32 € de principal y 2400 € presupuestados inicialmente para intereses y costas. El servicio de notificaciones de la Fábrica Nacional de Moneda y Timbre remitió a la demandante de amparo, a través de la dirección electrónica habilitada, un aviso de notificación del citado auto y el decreto de la misma fecha que le fueron comunicados por dicho medio el 11 de mayo de 2018. Informa que la notificación estará disponible hasta el 26 de junio, día en el que la recurrente de amparo accede efectivamente a la página web y a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representación legal de Euroinversiones Inmobiliarias Costa Sur, S.L. presentó escrito de oposición a la ejecución despachada con fecha 10 de julio de 2018. Por auto de 21 de septiembre de 2018 se acordó su inadmisión por considerar la pretensión extemporánea, tomando como fecha de notificación el 11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sociedad mercantil recurrente interpuso recurso de reposición contra el auto de inadmisión alegando, en síntesis, que las actuaciones de notificación y requerimiento no habían sido realizadas el día 11 de mayo de 2018, sino el 26 de junio siguiente, fecha en la que accedió a la web y procedió a su descarga, y que la comunicación remitida a través de la dirección electrónica habilitada no puede entenderse más que un aviso de puesta a disposición o descarga de su contenido durante un plazo determinado (en el caso desde el 11 de mayo hasta el 26 de junio de 2018), pues entenderlo de otro modo, además de infringir los arts. 135, 152, 160, 162 de la Ley de enjuiciamiento civil (LEC), vulnera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su tramitación, el recurso de reposición fue desestimado por auto de 22 de abril de 2019. Según esta resolución, la recurrente tiene la condición de persona jurídica y, por tanto, está obligada a relacionarse con la administración de Justicia por medios electrónicos, de conformidad con lo previsto en la disposición transitoria cuarta de la Ley 42/2015, de 5 de octubre, de reforma de la Ley 1/2000, de 7 de enero, de enjuiciamiento civil, así como en los arts. 14.2 de la Ley 39/2015 y 273.3 LEC. Según el auto, en el presente caso “consta que la notificación se puso a disposición de las recurrentes en fecha 11 de mayo de 2018, no accediendo al contenido hasta el día 26 de junio de 2018 (fuera de los tres días que establece la normativa procesal), presentando el escrito de oposición a la ejecución en fecha 10 de julio de 2018, claramente fuera del plazo legalmente establecido en el art. 556.1 de la LEC (dentro de los diez días siguientes al de la notificación del auto despachando ejecución) y siendo que, conforme al art. 136 de la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 en su vertiente de acceso al proceso. Considera que con la interpretación ofrecida en el auto objeto de impugnación, el juzgado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solo dirigido al legislador, sino también al intérprete, obligándole a promover la defensa mediante la correspondiente contradicción, tal y como reconoce la sentencia 37/1984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solicita por medio de segundo otrosí la suspensión de la continuación del procedimiento de ejecución hipotecaria alegando que “con la celebración de subasta y la eventual adjudicación a terceros, pueden hacer perder al recurso de amparo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enero de 2020 la Sección Segunda de este tribunal acordó admitir a trámite el recurso de amparo y dirigir comunicación al Juzgado de Primera Instancia e Instrucción núm. 5 de Lorca, a fin de que, en plazo que no exceda de diez días, remitiera certificación o fotocopia adverada de las actuaciones correspondientes a los autos de ejecución hipotecaria y emplazara por el mismo plazo a quienes hubieran sido parte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Seguidos los trámites correspondientes, la Sala Primera de este tribunal, mediante ATC 28/2020, de 24 de febrero, deniega la suspensión cautelar solicitada y ordena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17 de julio de 2020, el Ministerio Fiscal presentó sus escritos de alegaciones en los que termina solicitando que se estime el recurso, se declare vulnerado el derecho a la tutela judicial efectiva sin indefensión (at. 24.1 CE) de la demandante, se declare la nulidad de todo lo actuado desde la notificación efectuada electrónicamente del auto despachando ejecución, y se ordene retrotraer las actuaciones al momento inmediatamente anterior a dicha notificación para que se dé a la recurrente posibilidad de formular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las partes recurrentes, argumenta el fiscal ante el Tribunal Constitucional que las resoluciones judiciales impugnadas vulneran el derecho a la tutela judicial efectiva (art. 24.1 CE) de la demandante de amparo. Con cita de la STC 40/2020, cuyo contenido es parcialmente trascrito, efectúa un exhaustivo repaso por la doctrina del Tribunal Constitucional sobre los actos de comunicación procesal con expresa referencia a las SSTC 6/2019, de 17 de enero; 32/2019, de 28 de febrero; 47/2019, de 8 de abril; 19/2020, de 10 de febrero, y 43/2020, de 9 de marzo, para concluir solicitando el otorgamiento del amparo en los términos indicados.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28 de julio de 2020 Euroinversiones Inmobiliarias Costa Sur, S.L., por medio de su representación procesal, presentó escrito en el que además de remitirse a las alegaciones formuladas en el recurso de amparo presentado y reiterar las pretensiones en el mismo formuladas, reproduce parte de la fundamentación de la STC 40/2020, de 27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septiembre de 2020,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presente recurso de amparo tiene por objeto la impugnación de los autos de 21 de septiembre de 2018 y de 22 de abril de 2019, dictados por el Juzgado de Primera Instancia e Instrucción núm. 5 de Lorca, en el procedimiento de ejecución hipotecaria núm. 291-2018. Según la entidad mercantil demandante de amparo, una interpretación irrazonable de la legislación procesal le habría privado injustamente de su derecho a formular oposición a la ejecución hipotecaria. Tratándose de un primer emplazamiento, el requerimiento de pago y alternativo derecho a oponerse a la demanda ejecutiva debió realizarse de manera personal en su domicilio social con entrega en papel de la documentación, y no mediante el servicio de notificaciones electrónicas y de dirección electrónica habilitada de la Fábrica Nacional de Moneda y Timbre. El órgano judicial habría incumplido su obligación de asegurar, no ya la legalidad formal de los actos de comunicación, sino el cumplimiento efectivo de su finalidad constitucional. Todo ello constituiría una vulneración del derecho fundamental de la demandante de amparo a la tutela judicial efectiva sin indefensión (art. 24 CE). Solicita, en consecuencia, la anulación de las resoluciones indicadas, así como la retroacción al momento procesal oportuno, previo al dictado del auto de 21 de septiembre de 2018, a fin de que el juzgado admita a trámite su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 la demanda de amparo y la nulidad de todo lo actuado desde la notificación electrónica del auto de despacho de la ejecución con retroacción de las actuaciones al momento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reciente STC 40/2020, de 27 de febrero, del Pleno del tribunal, estimó un recurso de amparo basado en los mismos motivos, interpuesto por la misma entidad mercantil y dirigido contra autos de contenido muy similar de otro juzgado de Lorca. Corresponde, en consecuencia, dar por reproducidos los fundamentos jurídicos de aquella sentencia y declarar por ello que los autos de 21 de septiembre de 2018 y 22 de abril de 2019 del Juzgado de Primera Instancia e Instrucción núm. 5 de Lorca han vulnerado el derecho a la tutela judicial efectiva de la recurrente en amparo (art. 24.1 CE). Como en aquel caso, la estimación del amparo trae consigo la nulidad de los autos recurridos, así como de todo lo actuado en el procedimiento hipotecario a quo desde el momento en que se proveyó al emplazamiento de la entidad mercantil solicitante de amparo a través de la dirección electrónica habilitada.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mercantil Euroinversiones Inmobiliarias Costa Sur,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en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 los autos de 21 de septiembre de 2018 y 22 de abril de 2019 dictados por el Juzgado de Primera Instancia e Instrucción núm. 5 de Lorca en el proceso de ejecución hipotecaria núm. 291-2018,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este último por el referido juzgado de forma que resulte respetuoso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