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3068-2019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mayo de 2019, tuvo entrada en el registro general de este Tribunal Constitucional un escrito de la entidad Penrei Inversiones, S.L., por el que interpuso recurso de amparo contra el auto de 21 de marzo de 2019 del Juzgado de Primera Instancia e Instrucción núm. 6 de Lorca, que desestimó el recurso de reposición formulado frente a otro auto anterior de fecha de 18 de diciembre de 2018, dictado por el mismo juzgado, que inadmitió por extemporáneo el escrito de oposición a la ejecución hipotecaria promovida por Banco de Sabadell,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Primera Instancia e Instrucción núm. 6 de Lorca se tramita, a instancia de Banco de Sabadell, S.A., frente a las sociedades Euroinversiones Inmobiliarias Costa Sur, S.L., y Penrei Inversiones, S.L., el proceso de ejecución hipotecaria núm. 45-2018.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Despachada ejecución por auto de 23 de mayo de 2018, las sociedades demandadas fueron requeridas y notificadas con fecha de 25 de mayo de 2018 a través de la sede judicial electrónica.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sociedad ejecutada, Penrei Inversiones, S.L., se personó en las actuaciones el 28 de agosto de 2018 para poner de manifiesto que, con fecha 10 de julio de 2018, había recibido una comunicación del servicio de notificaciones electrónicas en la que le participaban la existencia de una notificación pendiente de entrega y que, al acceder a su contenido, pudo constatar quince archivos; expone en su escrito que la comunicación practicada carecía de validez al no constar enviados todos los documentos que se citan, en particular el auto que acordada el despacho de ejecución y, con amparo en el art. 166 de la Ley de enjuiciamiento civil (LEC), solicitó la nulidad del acto de comunicación.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petición de nulidad fue tramitada y resuelta por auto de 13 de diciembre de 2018 en sentido desestimatorio. En el fundamento jurídico único se expresa que “[E]n el caso que nos ocupa, es cierto que el auto por el que se despachaba ejecución no se incluyó entre la documentación que se remitió a la mercantil ejecutada a través de la sede electrónica, y que reconoce recibida el día 25 de mayo de 2018, esto es, la demanda de ejecución y los documentos que la acompañaban, así como el decreto despachando ejecución, donde se incluía igualmente la mención a las cantidades reclamadas y por las que se debía realizar el requerimiento de pago y la propia cédula de requerimiento de pago. Ahora bien, examinadas las actuaciones, se concluye que el ejecutado no sufrió indefensión, ya que dicha omisión material podría haberse subsanado si el ejecutado hubiese adoptado una postura activa, poniendo la misma de manifiesto en el plazo que la ley le concedía para formular oposición a la ejecución, algo que no realizó, por lo que sólo al mismo es achacable la supuesta indefensión que se alega. En consecuencia, procede la desestimación de la nulidad de actuaciones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Durante la sustanciación del incidente de nulidad planteado, el órgano judicial volvió a remitir el 1 de junio de 2018, por la misma vía telemática, otra notificación con relación al mismo proceso de ejecución y a través del cual se envía el auto en el que se despachaba ejecución y, con fecha 20 de julio de 2018 se remite nuevo archivo consistente en un auto aclaratorio del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sociedad ejecutada formuló oposición al despacho de ejecución, que fue inadmitida por extemporánea mediante auto de 14 de septiembre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Contra la anterior resolución interpuso dicha ejecutada recurso de reposición al entender que las diligencias de notificación y requerimiento no habían sido realizadas el día 25 de mayo de 2018 sino, en su caso, a partir de esa fecha y hasta el 10 de julio de 2018, dado que la comunicación remitida a través de la dirección electrónica habilitada no podía entenderse más que un aviso de puesta a disposición o descarga de su contenido durante un plazo determinado (en el caso desde el 25 de mayo al 10 de julio de 2018). Entenderlo de otro modo, además de infringir los arts. 135, 152, 160 y 162 LEC, vulneraría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recurso fue resuelto por auto desestimatorio de 21 de marzo de 2019, al constatar el órgano judicial su condición de persona jurídica y, como tal, su obligación de relacionarse con la administración de justicia por medios electrónicos, de conformidad con lo previsto en la disposición transitoria cuarta de la Ley 42/2015, de 5 de octubre, de reforma de la Ley 1/2000, de 7 de enero, de enjuiciamiento civil así como en los arts. 14.2 Ley 39/2015 y el Real Decreto 1065/2015, de 27 de enero, sobre comunicaciones electrónicas en la administración de justicia en el ámbito territorial del Ministerio de Justicia y por el que se regula el sistema Lexnet. En su fundamento jurídico 2 concluye que “en el presente caso, consta que la notificación se puso a disposición de las recurrentes en fecha 25-05-2018 no accediendo al contenido hasta el día 26-07-2018 (fuera de los tres días que establece la normativa procesal), presentando los escritos de oposición a la ejecución en fecha 04-09-2018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aquélla “no ha tenido ninguna relación con el juzgado correspondiente en este especial y concreto procedimiento”, ha de practicarse mediante cédula con entrega en papel de la documentación correspondiente, conforme establece el art. 273 LEC, en relación con los arts. 135, 152, 162 y 155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Subraya que incluso la notificación realizada tampoco cumple con las formalidades de las comunicaciones electrónicas, puesto que no existe constancia de la fecha de recepción del correo electrónico por el destinatario “y ni tan siquiera si con ello, con la remisión de ese correo electrónico se da satisfacción a esa necesidad de conocimiento del destinatario del contenido de los actos de notificación […], pues tales documentos no están incluidos en el correo electrónico remitido”.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poner de manifiesto la doctrina de este tribunal sobre la trascendencia de los actos de comunicación y la relevancia que la corrección de los mismo adquiere desde una perspectiva constitucional solicita, con estimación del amparo, acuerde la nulidad de los autos de 14 de septiembre de 2018, de 18 de diciembre de 2018 y de 21 de marzo de 2019, y ordene reponer las actuaciones al momento previo al dictado de la primera de aquéllas, a fin de que el juzgado a quo admita a trámite la oposición al despacho de ejecución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solicitó la suspensión de la continuación del procedimiento de ejecución hipotecaria 45-2018 seguido ante el Juzgado de Primer Instancia e Instrucción núm. 6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de 17 de junio de 2019, visto que los recursos de amparo 3068-2019 y 3057-2019 inicialmente turnados respectivamente, a las Salas Primera y Segunda de este tribunal, provienen del mismo proceso, se acordó, en atención a esta conexión objetiva, previa conformidad de la señora presidenta de la Sala Segunda (acuerdo del Pleno de 23 de octubre de 2013) y en ejercicio de las facultades que a esta presidencia atribuye el art. 15 de la Ley Orgánica 2/1979, que ambos recursos prosigan su tramitación ante la Sala Segunda, debiendo ser turnados al mismo ponente.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Sección Tercera de la Sala Segunda de este Tribunal Constitucional, dictó diligencia de ordenación el 18 de diciembre de 2019 solicitando al juzgado a quo la remisión de certificación acreditativa de la interposición o no de recurso de apelación contra alguna de las resoluciones dictadas en las actuaciones principales o en alguna pieza separada en el procedimiento de ejecución hipotecaria seguido en ese juzgado con el número 45-2018, y si ha recaído resolución para que se remita a la Sala testimonio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23 de enero de 2020, el Juzgado de Primera Instancia e Instrucción núm. 6 de Lorca remitió a este tribunal certificación que en el procedimiento referenciado consta recurso de reposición contra el auto de fecha de 17 de diciembre de 2019, sobre sucesión procesal, que se encuentra en fase de resolver, no constando ningún otro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Tercera de este tribunal dictó providencia el 15 de junio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Tercera ha examinado el recurso de amparo y ha acordado admitirlo a trámite, apreciando que concurre en el mismo una especial trascendencia constitucional [art. 50.1 Ley Orgánica del Tribunal Constitucional (LOTC)] porque el recurso plantea un problema o afecta a una faceta de un derecho fundamental sobre la que no hay doctrina de este tribunal [STC 155/2009, FJ 2, a)] y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Primera Instancia e Instrucción núm. 6 de Lorca a fin de que, en plazo que no exceda de diez días, se emplace a quienes hubieren sido parte en el procedimiento, excepto la parte recurrente en amparo, para que en el plazo de diez días puedan comparecer, si lo desean,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pieza separada para la tramitación del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nueva providencia dictada por la Sección Tercera de este tribunal en la misma fecha de la admisión del recurso, el 15 de junio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entidad recurrente presentó su escrito de alegaciones con fecha 29 de junio de 2020, interesando se acceda a lo solicitado en cuanto a la suspensión del procedimiento de ejecución hipotecaria referido. A tal efecto alega que la continuación de tal procedimiento, “con la celebración de subasta y la eventual adjudicación a terceros harían perder al recurso de amparo su finalidad y provocarían perjuicios patrimoniales para mi representada de imposible o difícil reparación”. Invoca a su favor lo resuelto por este tribunal en sus AATC 21/2018 de 5 de marzo; 58/2018 de 4 de junio, y 117/2018, de 29 de octubre, reiterando a renglón seguido las vulneraciones constitucionales de fondo que aduce en su demanda, e indicando que de no adoptarse la medida y “seguir adelante la ejecución podría producirse la transmisión irrecuperable del dominio del bien inmueble,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su parte, el fiscal ante este Tribunal Constitucional formalizó su escrito de alegaciones en esta pieza el 7 de julio de 2020, interesando que adoptemos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 LOTC y doctrina general sobre la procedencia de la suspensión del acto impugnado en amparo, señala que este tribunal ha establecido como criterio general, “que no procede suspender la ejecución de aquellos fallos judiciales que admiten la restitución íntegra de lo ejecutado (como de ordinario ocurre, aunque no sin excepciones, en las condenas de contenido patrimonial)”. Que no obstante ello, “tampoco las condenas de contenido patrimonial pueden quedar absolutamente marginadas de la posibilidad de suspenderse, habrá que valorar en estos casos, con especial énfasis que no se produzca perjuicio para el interés general, lo que normalmente no ocurrirá en los pleitos puramente civiles, y de manera más concreta que no se acabe implicando los derechos presentes o futuros de terceros que puedan acabar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la doctrina a la solicitud formulada por la recurrente, se entiende por el fiscal que la misma “no parece muy fundamentada […] ya que se limita a la mera petición sin explicitar ninguna razón. Acordar la suspensión solicitada comportaría la drástica medida que supondría la paralización del procedimiento ejecutivo, que por su propia naturaleza goza de las características de celeridad y sumariedad. Mucho más eficaz para conseguir el efecto protector deseado por la recurrente sería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tercero adquirente queda especialmente protegido por su buena fe en la adquisición”.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no tiene dudas de que este tribunal puede acordar dicha medida, ex art. 56.3 LOTC, conforme tiene establecido nuestra doctrina, con cita del ATC 95/2015, de 25 de mayo, FJ 4. Entiende que “nos encontramos en uno de esos supuestos en que tratándose de un (sic)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45-2018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 así como en el ATC 85/2019, de 15 de julio, donde se plantearon los mismos argumentos que aquí para solicitar la suspensión por la otra entidad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 en relación con el presente recurso de amparo instado por la entidad Penrei Inversiones, S.L.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3068-2019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