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273-2012 seguido en el Juzgado de Primera Instancia núm. 3 de Almería.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día 8 de febrero de 2018, don Félix González Guerrero y doña Josefa Ramos Puertas, representados por el procurador de tribunales don Felipe Iracheta Martín y asistidos por el letrado don Alejandro Sánchez Arreondo, interpusieron recurso de amparo frente a la providencia del Juzgado de Primera Instancia núm. 3 de Almería, de fecha 18 de diciembre de 2017, dictada en el procedimiento de ejecución hipotecaria núm. 273-2012, en cuya virtud se inadmitió el escrito de fecha 1 de junio de 2017, en el que, entre otras peticiones, recabaron el control judicial de las cláusulas abusivas del título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los recurrentes invocan la vulneración del derecho a la tutela judicial efectiva sin indefensión (art. 24.1 CE). Fundan esa lesión en la decisión adoptada por el órgano judicial, quien en la providencia impugnada resolvió que “no ha lugar a la admisión a trámite del referido escrito en base a los motivos de nulidad señalados, al haber precluido el trámite para ello una vez dejado pasar el plazo para formular oposición, habiéndose producido, incluso, la subasta del inmueble hipotecado”. Por otrosí, estos últimos solicitan que se adopte la medida cautelar de suspensión de todas las actuaciones futuras en el procedimiento de ejecución hipotecaria ya citado, a fin de evitar que se pueda llevar a cabo el lanzamiento de la vivienda. En apoyo de esa petición invocan la consolidada doctrina de este tribunal que, según indican, aparece reflejada en el ATC 74/2013, de 8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15 de junio de 2020, la Sección Tercera de este tribunal acordó admitir a trámite el recurso de amparo, al apreciar que concurre en el mismo una especial transcendencia constitucional [art. 50.1 de la Ley Orgánica del Tribunal Constitucional (LOTC)], como consecuencia de que el órgano judicial pudiera haber incurrido en una negativa manifiesta del deber de acatamiento de la doctrina de este tribunal [STC 155/2009, FJ 2 f)]. Al haber sido remitidas con anterioridad las actuaciones judiciales, solamente se resolvió dirigir comunicación al órgano judicial interviniente, a fin de que, en plazo que no exceda de diez días proceda a emplazar a quienes hubieran sido parte en el proceso del que trae causa el presente recurso, excepto a la parte recurrente en amparo, para que en el indicado plazo de diez días puedan comparecer, si lo desean.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misma fecha, la Sección Tercera de este tribunal dictó providencia acordando formar pieza para la tramitación del incidente relativo a la suspensión interesada y conceder, conforme a lo dispuesto en el art. 56 LOTC, un plazo común de tres días a los recurrentes y al ministerio fiscal, para que aleguen lo que consideren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Según consta en el testimonio de actuaciones remitido en su día por el órgano judicial, mediante escrito de fecha 11 de junio de 2018, la entidad Buildingcenter, S.A.U., manifestó no tener interés en hacer uso de la facultad prevista en el art. 675 de la Ley de enjuiciamiento civil (LEC) y, a su vez, solicitó que se procediera al archivo del procedimiento del que trae causa el presente recurso de amparo, previo desglose de los documentos aportados con 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decreto de fecha 18 de junio de 2018 se acordó declarar terminado el procedimiento de ejecución hipotecaria núm. 273-2012, la devolución de la documentación original aportada y el archivo del referido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demandantes de amparo no han formulado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8 de julio de 2020 presentó sus alegaciones el Ministerio Fiscal. Tras detallar brevemente los antecedentes del presente recurso, procede a sintetizar la doctrina constitucional relativa a la suspensión cautelar regulada en el art. 56 LOTC, poniendo de relieve el carácter excepcional de esa medida y que su concesión está asociada a evitar que se causaran prejuicios de imposible o muy difícil reparación, que puedan privar de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presente supuesto, afirma que la petición de suspensión del procedimiento ejecutivo “no parece muy fundamentada por los propios recurrentes, ya que se limita a la mera petición sin explicitar ninguna razón salvo la mera pérdida de finalidad del recurso en el caso de que llegara a celebrarse la subasta de los bienes inmuebles en conflicto y su adjudicación a un tercero que actuaría de buena fe. Acordar la suspensión solicitada comportaría la drástica medida que supondría la paralización del procedimiento ejecutivo, que por su propia naturaleza goza de las características de celeridad y sumariedad”.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fiscal estima procedente acordar la anotación preventiva de demanda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queda especialmente protegido por su buena fe en la adquisición. Luego, tras exponer resumidamente la doctrina constitucional respecto de la anotación preventiva de demanda y su encaje en el art. 56.3 LOTC, colige que en el presente caso “nos encontramos en uno de esos supuestos en que tratándose de un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recurso de amparo se interpone contra la providencia de 18 de diciembre de 2017, en cuya virtud se inadmitió el incidente de nulidad de actuaciones formulado por los demandantes, en el que recabaron el control judicial de las cláusulas abusivas del título de ejecución. Asimismo, interesaron la medida cautelar de suspensión de todas las actuaciones futuras en el procedimiento de ejecución hipotecaria ya citado, a fin de evitar que, con posterioridad, se pueda llevar a cabo el lanzamiento del inmueble que ocupan.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Ahora bien, reiteradamente este tribunal ha sostenido que “el perjuicio, para ser irreparable, debe ser real y actual y que no es posible alegar un daño futuro o hipotético o un simple temor. Y, en fin, que la pérdida de la finalidad del amparo no puede equipararse a la mayor o menor dificultad, molestia o incomodidad para el recurrente (entre otros, AATC 160/2017, de 21 de noviembre, FJ 2; 88/2018, de 17 de septiembre, FJ 3, y 84/2019, de 15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los demandantes fundan la solicitud de suspensión cautelar en el hecho de que, en un futuro, puedan ser lanzados del inmueble que ocupan. Sin embargo, el desalojo a que se refieren no está previsto que se materialice en una fecha próxima o, al menos, determinada. Es más, no parece probable que tal eventualidad pueda producirse en el seno del procedimiento de ejecución hipotecaria del que deriva el presente recurso, habida cuenta de que, como así se ha reflejado en los antecedentes de esta resolución, el indicado procedimiento se ha archivado sin que se haya interesado el lanzamiento de los demandantes. Por ello, la mera invocación de un recelo o temor o, todo lo más, de un perjuicio hipotético y futuro, no justifica la adopción de la medida cautelar que los recurrentes interesaron en el escrito de demanda, por lo que esta debe ser desestimada; sin perjuicio de que la denegación de la medida cautelar pueda ser modificada en un futuro, por la concurrencia de las circunstancias a que se refiere el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el Tribunal entiende que las circunstancias que presenta el supuesto sometido a consideración justifican la adopción de la medida cautelar de anotación preventiva de la demanda de amparo en el registro de la propiedad, en cuanto se reputa medida suficiente e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de conformidad con la doctrina expuesta y sin prejuzgar la decisión de fondo del recurso, conducen a denegar la suspensión solicitada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273-2012 seguido en el Juzgado de Primera Instancia núm. 3 de Almería.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