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695-2020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6 de julio de 2020,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núm. 695-2020 interpuesto por Euroinversiones Inmobiliarias Costa Sur, S.L.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3ª Formar la pieza separada para la tramitación del incidente de suspensión, concediendo plazo común de tres días a la parte recurrente y al Ministerio Fiscal para que aleguen lo que estimen oportuno (art. 56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septiembre de 2020, el fiscal ante el Tribunal Constitucional interpuso recurso de súplica contra la providencia de 6 de julio de 2020, en la que se decidió la inadmisión a trámite del recurso de amparo núm. 695-2020, interpuesto por Euroinversiones Inmobiliarias Costa Sur, S.L., contra los autos de 15 de noviembre de 2018 y de 12 de diciembre de 2019, dictados por el Juzgado de Primera Instancia e Instrucción núm. 4 de Lorca, en el procedimiento de ejecución hipotecaria núm. 369-2018.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369-2018,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43.323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las sociedades demandadas por la cantidad de 180 193,46 € de principal y 28 850 €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26 de junio de 2018. En dicha comunicación se informa que la notificación estará disponible hasta el 11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29 de agosto de 2018. Por auto de 15 de noviembre de 2018 se acordó su inadmisión por considerar la pretensión extemporánea, tomando como fecha de notificación el 25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25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además de infringir los arts. 135, 152, 160, y 162 de la Ley de enjuiciamiento civil (LEC), vulnera el art. 24 CE. Tras su tramitación el recurso de reposición fue desestimado por auto de 12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registrado en este tribunal el 3 de febrero de 2020, la entidad Euroinversiones Inmobiliarias Costa Sur, S.L., representada por la procuradora de los tribunales doña Blanca Berriatua Horta y bajo la dirección del letrado don Marcelino Gilabert García, interpuso recurso de amparo contra los autos de 15 de noviembre de 2018 y de 12 de diciembre de 2019, dictados por el Juzgado de Primera Instancia e Instrucción núm. 4 de Lorca. La demandante de amparo se queja en su recurso de la vulneración de su derecho a la tutela judicial efectiva sin indefensión (art. 24.1 CE) en su vertiente de acceso al proceso. Por medio de otrosí, solicitó la suspensión del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Tras la admisión a trámite de numerosos recursos de amparo de contenido idéntico o muy similar, la Sección Segunda del Tribunal Constitucional apreció que la resolución de la presente demanda de amparo no revestía especial trascendencia constitucional [art. 50.1 b) LOTC]. Mediante providencia de 6 de julio de 2020, la sección acordó no admitir a trámite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interpuso recurso de súplica ex art. 50.3 LOTC contra la providencia de 6 de julio de 2020, interesando que se dejara esta sin efecto, dictándose otra en su lugar admitiendo el recurso de amparo. El Ministerio Fiscal argumenta en su recurso que el contenido de la demanda es idéntico al de otras muchas interpuestas por la misma demandante o por Penrei Inversiones, S.L., contra resoluciones idénticas de diversos juzgados de primera instancia e instrucción de Lorca en que las demandantes son ejecutadas y en los que se alegaba como motivo de especial trascendencia el mismo que el aducido en la presente demanda, siendo tales demandas de amparo admitidas al apreciarse su especial trascendencia constitucional, habiéndose resuelto varios de dichos recursos estimando la demanda y acordando la nulidad de las resoluciones objeto de amparo. Afirma que desde la sentencia del Pleno 40/2020, de 27 de febrero, se han ido sucediendo múltiples pronunciamientos en igual sentido. Indica que existen, con posterioridad a la interposición de la presente demanda, recursos de amparo que han sido admitidos por la Sala Primera y Segunda del Tribunal Constitucional con un contenido sustancialmente idéntico al de la presente demanda, lo que ocasiona una contradicción lesiva de la seguridad jurídica y, sobre todo, en el que la vulneración del derecho alegado podría adquirir una especial intensidad al haberse estimado a fecha de hoy muchas de las admitidas y rechazarse a limine las inadmitidas. Afirma la conveniencia de llegar a una solución común y homogénea de manera que la especial trascendencia constitucional pudiera quedar integrada, ante la particular situación producida en este caso, por la superior defensa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 de septiembre de 2020, se acordó dar traslado del recurso a la representación del recurrente y concederle un plazo común de tres días a fin de que alegue lo que estime pertinente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formuló alegaciones mediante escrito registrado el 10 de septiembre de 2020, en el que manifiesta su plena conformidad con el recurso de súplica interpuesto por el Ministerio Fiscal y solicita a este tribunal que dicte una resolución estimatoria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 las alegaciones del Ministerio Fiscal, procede estimar el recurso de súplica interpuesto y dejar sin efecto, en consecuencia, la providencia de esta sección de 6 de julio de 2020, dictándose otra en su lugar por la que se acuerde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para dar respuesta a algunos argumentos utilizados por las partes que como ya se ha afirmado por este tribunal, tras la reforma llevada a cabo por Ley Orgánica 6/2007, de 24 de mayo,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la que el recurso estaba orientado primordialmente a reparar las lesiones causadas en los derechos fundamentales y libertades públicas del demandante susceptibles de amparo (por todas, STC 208/2015, de 5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mera admisión de otros recursos de amparo idénticos al actual, presentados por el recurrente de amparo o por la otra parte ejecutada en los procedimientos de ejecución hipotecaria seguidos ante los juzgados de primera instancia e instrucción de Lorca, e incluso, el hecho de que se hayan dictado numerosas sentencias desde la STC 40/2020, estimando las demandas y reconociendo la existencia de la vulneración del derecho fundamental invocado, no es condición suficiente para 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siguiendo el argumento del Ministerio Fiscal, al dictarse la providencia de inadmisión, otras secciones de este tribunal estaban admitiendo a trámite demandas idénticas a la actual apreciando la concurrencia de la causa de especial trascendencia a la que ya nos hemos referido [la señalada en la STC 155/2009, FJ 2 a)], y de una eventual futura estimación de estas demandas se derivaría una contradicción lesiva de la seguridad jurídica de la mercantil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razones de economía procesal pueden aconsejar que, tras examinar nuevamente la demanda de amparo, la sección acuerde su admisión (ATC 239/2014, de 10 de octubre) en el propio auto estimatorio del recurso de súplica. En este caso, examinada nuevamente la demanda de amparo, procede acordar su 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6 de julio de 2020,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núm. 695-2020 interpuesto por Euroinversiones Inmobiliarias Costa Sur, S.L.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3ª Formar la pieza separada para la tramitación del incidente de suspensión, concediendo plazo común de tres días a la parte recurrente y al Ministerio Fiscal para que aleguen lo que estimen oportuno (art. 56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