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6 de julio de 2020,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696-2020 interpuesto por Penrei Inversiones, S.L.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3ª Formar la pieza separada para la tramitación del incidente de suspensión, concediendo plazo común de tres días a la parte recurrente y al Ministerio Fiscal para que aleguen lo que estimen oportuno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septiembre de 2020, el fiscal ante el Tribunal Constitucional interpuso recurso de súplica contra la providencia de 6 de julio de 2020, en la que se decidió la inadmisión a trámite del recurso de amparo núm. 696-2020, interpuesto por Penrei Inversiones, S.L., contra los autos de 15 de noviembre de 2018 y de 12 de diciembre de 2019, dictados por el Juzgado de Primera Instancia e Instrucción núm. 4 de Lorca, en el procedimiento de ejecución hipotecaria núm. 369-2018.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369-2018,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43323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las sociedades demandadas por la cantidad de 180 193,46 € de principal y 28 850 €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26 de junio de 2018. En dicha comunicación se informa que la notificación estará disponible hasta el 11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29 de agosto de 2018. Por auto de 15 de noviembre de 2018 se acordó su inadmisión por considerar la pretensión extemporánea, tomando como fecha de notificación el 25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25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además de infringir los arts. 135, 152, 160, y 162 de la Ley de enjuiciamiento civil (LEC), vulnera el art. 24 CE. Tras su tramitación, el recurso de reposición fue desestimado por auto de 12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registrado en este tribunal el 3 de febrero de 2020, la entidad Penrei Inversiones, S.L., representada por la procuradora de los tribunales doña Blanca Berriatua Horta y bajo la dirección del letrado don Anju Nirmala Benavent Rodriguez, interpuso recurso de amparo contra los autos de 15 de noviembre de 2018 y de 12 de diciembre de 2019, dictados por el Juzgado de Primera Instancia e Instrucción núm. 4 de Lorca. La demandante de amparo se queja en su recurso de la vulneración de su derecho a la tutela judicial efectiva sin indefensión (art. 24.1 CE) en su vertiente de acceso al proceso. Por medio de otrosí, solicitó la suspensión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Tras la admisión a trámite de numerosos recursos de amparo de contenido idéntico o muy similar, la Sección Segunda del Tribunal Constitucional apreció que la resolución de la presente demanda de amparo no revestía especial trascendencia constitucional [art. 50.1 b) de la Ley Orgánica del Tribunal Constitucional (LOTC)]. Mediante providencia de 6 de julio de 2020 la sección acordó no admitir a trámite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interpuso recurso de súplica ex art. 50.3 LOTC contra la providencia de 6 de julio de 2020, interesando que se dejara esta sin efecto, dictándose otra en su lugar admitiendo el recurso de amparo. El Ministerio Fiscal argumenta en su recurso que el contenido de la demanda es idéntico al de otras muchas interpuestas por la misma demandante o por Penrei Inversiones, S.L., contra resoluciones idénticas de diversos juzgados de primera instancia e instrucción de Lorca en que las demandantes son ejecutadas y en los que se alegaba como motivo de especial trascendencia el mismo que el aducido en la presente demanda, siendo tales demandas de amparo admitidas al apreciarse su especial trascendencia constitucional, habiéndose resuelto varios de dichos recursos estimando la demanda y acordando la nulidad de las resoluciones objeto de amparo. Afirma que desde la sentencia del Pleno 40/2020, de 27 de febrero, se han ido sucediendo múltiples pronunciamientos en igual sentido. Indica que existen, con posterioridad a la interposición de la presente demanda, recursos de amparo que han sido admitidos por la Sala Primera y Segunda del Tribunal Constitucional con un contenido sustancialmente idéntico al de la presente demanda, lo que ocasiona una contradicción lesiva de la seguridad jurídica y, sobre todo, en el que la vulneración del derecho alegado podría adquirir una especial intensidad al haberse estimado a fecha de hoy muchas de las admitidas y rechazarse a limine las inadmitidas. Afirma la conveniencia de llegar a una solución común y homogénea de manera que la especial trascendencia constitucional pudiera quedar integrada, ante la particular situación producida en este caso, por la superior defensa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 de septiembre de 2020, se acordó dar traslado del recurso a la representación del recurrente y concederle un plazo común de tres días a fin de que alegue lo que estime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mediante escrito registrado el 10 de septiembre de 2020, en el que manifiesta su plena conformidad con el recurso de súplica interpuesto por el Ministerio Fiscal y solicita a este tribunal que dicte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las alegaciones del Ministerio Fiscal, procede estimar el recurso de súplica interpuesto y dejar sin efecto, en consecuencia, la providencia de esta sección de 6 de julio de 2020, dictándose otra en su lugar por la que se acuerde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para dar respuesta a algunos argumentos utilizados por las partes que, como ya se ha afirmado por este tribunal, tras la reforma llevada a cabo por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la que el recurso estaba orientado primordialmente a reparar las lesiones causadas en los derechos fundamentales y libertades públicas del demandante susceptibles de amparo (por todas, STC 208/2015, de 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mera admisión de otros recursos de amparo idénticos al actual, presentados por el recurrente de amparo o por la otra parte ejecutada en los procedimientos de ejecución hipotecaria seguidos ante los juzgados de primera instancia e instrucción de Lorca, e incluso, el hecho de que se hayan dictado numerosas sentencias desde la STC 40/2020, estimando las demandas y reconociendo la existencia de la vulneración del derecho fundamental invocado, no es condición suficiente para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siguiendo el argumento del Ministerio Fiscal, al dictarse la providencia de inadmisión, otras secciones de este tribunal estaban admitiendo a trámite demandas idénticas a la actual apreciando la concurrencia de la causa de especial trascendencia a la que ya nos hemos referido [la señalada en la STC 155/2009, FJ 2 a)], y de una eventual futura estimación de estas demandas se derivaría una contradicción lesiva de la seguridad jurídica de la mercantil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razones de economía procesal pueden aconsejar que, tras examinar nuevamente la demanda de amparo, la sección acuerde su admisión (ATC 239/2014, de 10 de octubre) en el propio auto estimatorio del recurso de súplica. En este caso, examinada nuevamente la demanda de amparo, procede acordar su 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6 de julio de 2020,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696-2020 interpuesto por Penrei Inversiones, S.L.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3ª Formar la pieza separada para la tramitación del incidente de suspensión, concediendo plazo común de tres días a la parte recurrente y al Ministerio Fiscal para que aleguen lo que estimen oportuno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