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don Santiago Martínez-Vares García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de 6 de julio de 2020 que declaró la inadmisión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Admitir a trámite el recurso de amparo núm. 1921-2020 interpuesto por Penrei Inversiones, S.L.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Formar la pieza separada para la tramitación del incidente de suspensión, concediendo plazo común de tres días a la parte recurrente y al Ministerio Fiscal para que aleguen lo que estimen oportuno (art. 56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 de septiembre de 2020, el fiscal ante el Tribunal Constitucional interpuso recurso de súplica contra la providencia de 6 de julio de 2020, en la que se decidió la inadmisión a trámite del recurso de amparo núm. 1921-2020, interpuesto por Penrei Inversiones, S.L., contra el auto de 3 de mayo de 2019 dictado por el Juzgado de Primera Instancia e Instrucción núm. 1 de Lorca, en el procedimiento de ejecución hipotecaria núm. 348-2018, y contra el auto de 10 de febrero de 2020, dictado por la Sección Primera de la Audiencia Provincial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el presente recurso de súplica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1 de Lorca se sigue procedimiento de ejecución hipotecaria núm. 348-2018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43.459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27 de junio de 2018 se acordó despachar ejecución frente las sociedades demandadas por la cantidad de 2451,71 € de principal más intereses y costas presupuestados. El servicio de notificaciones de la Fábrica Nacional de Moneda y Timbre remitió a la demandante de amparo, a través de la dirección electrónica habilitada, un aviso de notificación del citado auto que le fue comunicado por dicho medio el 9 de octubre de 2018. En dicha comunicación se informa que la notificación estará disponible hasta el 24 de noviembre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Penrei Inversiones, S.L., presentó escrito de oposición a la ejecución despachada. Por auto de 3 de mayo de 2019 se acordó su inadmisión por considerar la pretensión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apelación contra el auto de inadmisión alegando, en síntesis, que las actuaciones de notificación y requerimiento habían sido realizadas en la fecha en que accedió a la web y procedió a su descarga, y que la comunicación remitida a través de la dirección electrónica habilitada no puede entenderse más que un aviso de puesta a disposición o descarga de su contenido durante un plazo determinado, pues entenderlo de otro modo vulnera el art. 24 CE. Tras su tramitación el recurso de apelación fue desestimado por auto de 10 de febrero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escrito registrado en este tribunal el 16 de abril de 2020, la entidad Penrei Inversiones, S.L., representada por la procuradora de los tribunales doña Blanca Berriatua Horta y bajo la dirección del letrado don Anju Nirmala Benavent Rodriguez, interpuso recurso de amparo contra el auto de 3 de mayo de 2019 dictado por el Juzgado de Primera Instancia e Instrucción núm. 1 de Lorca, en el procedimiento de ejecución hipotecaria núm. 348-2018 y contra el auto de 10 de febrero de 2020, dictado por la Sección Primera de la Audiencia Provincial de Murcia. Por medio de otrosí, solicitó la suspensión del procedimiento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Tras la admisión a trámite de numerosos recursos de amparo de contenido idéntico o muy similar, la Sección Segunda del Tribunal Constitucional apreció que la resolución de la presente demanda de amparo no revestía especial trascendencia constitucional [art. 50.1 b) de la Ley Orgánica del Tribunal Constitucional (LOTC)]. Mediante providencia de 6 de julio de 2020, la Sección acordó no admitir a trámite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interpuso recurso de súplica ex art. 50.3 LOTC contra la providencia de 6 de julio de 2020, interesando que se dejara esta sin efecto, dictándose otra en su lugar admitiendo el recurso de amparo. El Ministerio fiscal argumenta en su recurso que el contenido de la demanda es idéntico al de otras muchas interpuestas por la misma demandante o por Penrei Inversiones, S.L., contra resoluciones idénticas de diversos juzgados de primera instancia e instrucción de Lorca en que las demandantes son ejecutadas y en los que se alegaba como motivo de especial trascendencia el mismo que el aducido en la presente demanda, siendo tales demandas de amparo admitidas al apreciarse su especial trascendencia constitucional, habiéndose resuelto varios de dichos recursos estimando la demanda y acordando la nulidad de las resoluciones objeto de amparo. Afirma que desde la sentencia del Pleno 40/2020, de 27 de febrero, se han ido sucediendo múltiples pronunciamientos en igual sentido. Indica que existen, con posterioridad a la interposición de la presente demanda, recursos de amparo que han sido admitidos por la Sala Primera y Segunda del Tribunal Constitucional con un contenido sustancialmente idéntico al de la presente demanda, lo que ocasiona una contradicción lesiva de la seguridad jurídica y, sobre todo, en el que la vulneración del derecho alegado podría adquirir una especial intensidad al haberse estimado a fecha de hoy muchas de las admitidas y rechazarse a limine las inadmitidas. Afirma la conveniencia de llegar a una solución común y homogénea de manera que la especial trascendencia constitucional pudiera quedar integrada, ante la particular situación producida en este caso, por la superior defensa del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2 de septiembre de 2020, se acordó dar traslado del recurso a la representación del recurrente y concederle un plazo común de tres días a fin de que alegue lo que estime pertinente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formuló alegaciones mediante escrito registrado el 10 de septiembre de 2020, en el que manifiesta su plena conformidad con el recurso de súplica interpuesto por el Ministerio fiscal y solicita a este tribunal que dicte una resolución estimatoria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 la vista de las alegaciones del Ministerio fiscal, procede estimar el recurso de súplica interpuesto y dejar sin efecto, en consecuencia, la providencia de esta Sección de 6 de julio de 2020 dictándose otra en su lugar por la que se acuerde la 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para dar respuesta a algunos argumentos utilizados por las partes que como ya se ha afirmado por este tribunal, tras la reforma llevada a cabo por Ley Orgánica 6/2007, de 24 de mayo,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la que el recurso estaba orientado primordialmente a reparar las lesiones causadas en los derechos fundamentales y libertades públicas del demandante susceptibles de amparo (por todas, STC 208/2015, de 5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mera admisión de otros recursos de amparo idénticos al actual, presentados por el recurrente de amparo o por la otra parte ejecutada en los procedimientos de ejecución hipotecaria seguidos ante los juzgados de primera instancia e instrucción de Lorca, e incluso, el hecho de que se hayan dictado numerosas sentencias desde la STC 40/2020, estimando las demandas y reconociendo la existencia de la vulneración del derecho fundamental invocado, no es condición suficiente para admitir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siguiendo el argumento del Ministerio fiscal, al dictarse la providencia de inadmisión, otras secciones de este tribunal estaban admitiendo a trámite demandas idénticas a la actual apreciando la concurrencia de la causa de especial trascendencia a la que ya nos hemos referido [la señalada en la STC 155/2009, FJ 2 a)], y de una eventual futura estimación de estas demandas se derivaría una contradicción lesiva de la seguridad jurídica de la mercantil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razones de economía procesal pueden aconsejar que, tras examinar nuevamente la demanda de amparo, la Sección acuerde su admisión (ATC 239/2014, de 10 de octubre) en el propio auto estimatorio del recurso de súplica. En este caso, examinada nuevamente la demanda de amparo, procede acordar su 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de 6 de julio de 2020 que declaró la inadmisión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Admitir a trámite el recurso de amparo núm. 1921-2020 interpuesto por Penrei Inversiones, S.L.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Formar la pieza separada para la tramitación del incidente de suspensión, concediendo plazo común de tres días a la parte recurrente y al Ministerio Fiscal para que aleguen lo que estimen oportuno (art. 56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