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137</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6090-2019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6090-2019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385-2018,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25 de octubre de 2019, la entidad Euroinversiones Inmobiliarias Costa Sur, S.L., representada por la procuradora de los tribunales doña Blanca Berriatua Horta y bajo la dirección del letrado don Marcelino Gilabert García, interpuso recurso de amparo contra los autos de 21 de septiembre de 2018 y de 10 de septiembre de 2019, dictados por el Juzgado de Primera Instancia e Instrucción núm. 5 de Lorca, en el procedimiento de ejecución hipotecaria núm. 385-2018, por los que, respectivamente, se inadmite por extemporánea la demanda de oposición formulada y se confirma esta última decisión, tras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resolver la pretensión planteada, según se recogen en la demanda y en la documentación aportada,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Juzgado de Primera Instancia e Instrucción núm. 5 de Lorca se sigue procedimiento de ejecución hipotecaria núm. 385-2018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43.361 del registro de la propiedad núm. 3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auto de 7 de junio de 2018 se acordó despachar ejecución frente las sociedades demandadas por la cantidad de 8199,12 € de principal y 4510 € como intereses y costas presupuestados. El servicio de notificaciones de la Fábrica Nacional de Moneda y Timbre remitió a la demandante de amparo, a través de la dirección electrónica habilitada, un aviso de notificación del citado auto que le fue comunicado por dicho medio el 13 de junio de 2018. En dicha comunicación se informa que la notificación estará disponible hasta el 29 de julio del mismo año, accediendo la recurrente de amparo efectivamente a la página web y a la notificación dentro del plazo en que la misma se encontraba disponible.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legal de Euroinversiones Inmobiliarias Costa Sur, S.L., presentó escrito de oposición a la ejecución despachada con fecha 25 de julio de 2018. Por auto de 21 de septiembre de 2018 se acordó su inadmisión por considerar la pretensión extemporánea, tomando como fecha de notificación el 13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13 de junio de 2018, sino en la fecha en que accedió a la web y procedió a su descarga, y que la comunicación remitida a través de la dirección electrónica habilitada no puede entenderse más que un aviso de puesta a disposición o descarga de su contenido durante un plazo determinado (en el caso desde el 13 de junio hasta el 29 de julio de 2018), pues entenderlo de otro modo, además de infringir los arts. 135, 152, 160, 162 de la Ley de enjuiciamiento civil (LEC), vulnera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Tras su tramitación, el recurso de reposición fue desestimado por auto de 10 de septiembre de 2019. Según esta resolución, la recurrente tiene la condición de persona jurídica y, por tanto, está obligada a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y 373.3 LEC. Según el auto, en el presente caso “consta que la notificación se puso a disposición de las recurrentes en fecha 13/06/2018, no accediendo al contenido hasta el día 24/07/2018 (fuera de los tres días que establece la normativa procesal), presentando los escritos de oposición a la ejecución en fecha 25/07/2018, claramente fuera del plazo legalmente establecido en el art. 556.1 de la LEC (dentro de los diez días siguientes al de la notificación del auto despachando ejecución) y siendo que, conforme al art. 136 de la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con la interpretación ofrecida en el auto objeto de impugnación, el juzgado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intérprete, obligándole a promover la defensa mediante la correspondiente contradicción, tal y como reconoce la sentencia 37/1984 del Tribunal Constitucional”. Justifica la especial trascendencia constitucional aludiendo a la novedosa implantación de procesos de notificación por medios electrónicos en el ámbito de la jurisdicción civil en relación con las exigencias procesales derivadas de la regulación de la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segundo otrosí la suspensión de la continuación del procedimiento de ejecución hipotecaria alegando que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junio de 2020 la Sección Segunda de este tribunal acordó no admitir a trámite el recurso de amparo por no apreciar en el mismo la especial trascendencia constitucional que, como condición para su admisión, requiere el art. 50.1 b) de la Ley Orgánica del Tribunal Constitucional (LOTC) (STC 155/2009, de 25 de junio, FJ 2). Dicha providencia se dejó sin efecto en virtud del auto de 18 de septiembre de 2020 que estimó el recurso de súplica interpuesto contra la misma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sendas providencias de 21 de septiembre de 2020 la Sección Segunda de este tribunal acordó admitir a trámite el recurso de amparo y dirigir comunicación al Juzgado de Primera Instancia e Instrucción núm. 5 de Lorca, a fin de que, en plazo que no exceda de diez días, remitiera certificación o fotocopia adverada de las actuaciones correspondientes a los autos de ejecución hipotecaria y emplazara por el mismo plazo a quienes hubieran sido parte en el proceso del que trae causa el presente recurso de amparo; por otra parte se acordaba formar pieza separada para la tramitación de la suspensión del procedimiento de ejecución hipotecaria solicitada en el recurso y conceder plazo común de tres días al Ministerio Fiscal y al solicitante de amparo de conformidad con lo prevenido en el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7 de octubre de 2020 la parte demandante formuló sus alegaciones, reiterando lo expuesto en el otrosí de su demanda y trascribiendo como fundamento de su pretensión lo expresado en parte de los AATC 21/2018, de 5 de marzo, 58/2018, de 4 de junio y 117/2018, de 29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registrado el 20 de octubre de 2020, el Ministerio Fiscal se opuso a la pretendida suspensión del procedimiento de ejecución hipotecaria, e interesó que, alternativamente, se acuerde la anotación preventiva de la demanda de amparo en el registro de la propiedad, aunque esta última medida no haya sido solicitada en el recurso. Tras exponer la doctrina de este tribunal sobre suspensión de resoluciones y actos impugnados, aduce que en el presente caso la petición del demandante no parece muy fundada, sostiene que acordar la suspensión comportaría la paralización del procedimiento ejecutivo, que por su propia naturaleza goza de las características de celeridad y sumariedad. Considera mucho más eficaz la anotación preventiva de la demanda en el registro de la propiedad, pues a través de dicha medida cautelar es posible evitar que un hipotético tercer adquirente del inmueble hipotecado, en virtud de su buena fe registral, quede especialmente protegido, perjudicando así los intereses concernidos.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suspensión cautelar instada por la parte recurrente en amparo y dirigida frente al procedimiento de ejecución hipotecaria núm. 385-2018,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esta razón, la pretensión cautelar analizada se configura como una medida de carácter excepcional y de aplicación restrictiva (por todos, AATC 117/2015, de 6 de julio, FJ 1; 59/2017, de 24 de abril, FJ 1, y 177/2019, de 16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59/2017, FJ 1; 147/2017, de 13 de noviembre, FJ 1, y 177/2019,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13 de febrero, FJ 2; 74/2013, de 8 de abril, FJ 2; 152/2013, de 8 de julio, FJ 2; 282/2014, de 17 de noviembre, FJ 4; 59/2015, de 16 de marzo, FJ 2, y 177/2019,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a la que se ha hecho mención permite concluir, de acuerdo con lo solicitado por el Ministerio Fiscal, que resulta improcedente la suspensión solicitada del procedimiento de ejecución hipotecaria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igual que en procesos de amparo precedentes (AATC 81/2019, de 15 de julio; 148/2019, 155/2019 y 156/2019, de 25 de noviembre, FJ 3, y 170/2019, 171/2019, 173/2019, 174/2019 y 177/2019 de 16 de diciembre, FJ 3), 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De las actuaciones judiciales que han sido remitidas por el juzgado se desprende que al solicitarse el amparo el procedimiento se encontraba en la fase inicial, una vez rechazada la oposición a la ejecución. En tales circunstancias no es posible afirmar que la continuación del curso del procedimiento judicial, incluso si se produjera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como se anticipó, se reputa medida suficiente e idónea para evitar el perjuicio derivado de que la adquisición del bien por tercero lo haga irreivindicable. Esta misma ha sido la solución acogida recientemente, entre otros, en los AATC 148/2019, 155/2019 y 156/2019, FJ 3, y 170/2019, 171/2019, 173/2019, 174/2019 y 177/2019,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hicimos en el fundamento tercero de los mencionados autos, 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el FJ 4, “una de cuyas finalidades es que el registro de la propiedad sea fiel trasunto de la realidad jurídica —en este caso, la pendencia del presente proceso constitucional—y,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385-2018,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