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La suspensión cautelar del lanzamiento del inmueble adjudicado en el procedimiento de ejecución hipotecaria núm. 544-2015, que se viene tramitando por el Juzgado de Primera Instancia núm. 32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noviembre de 2019, doña Grace Katiuska Ordoñez Veloz, interpuso recurso de amparo contra la providencia del Juzgado de Primera Instancia núm. 32 de Madrid, dictada en el procedimiento de ejecución hipotecaria núm. 544-2015, por la que se inadmitió el incidente excepcional de nulidad de actuaciones promovido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32 de Madrid se sigue procedimiento de ejecución hipotecaria núm. 544-2015, promovido por la entidad Bankia, S.A., frente a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16 de julio de 2015 se acordó despachar ejecución frente a la ejecutada, sin que dicha resolución hiciera referencia al examen de oficio de las cláusulas contractuales del título ejecutivo.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25 de septiembre de 2019, la recurrente en amparo, promovió incidente de nulidad de actuaciones basado en el carácter abusivo y la consiguiente nulidad de las cláusulas de intereses moratorios y de la cláusula de vencimiento anticipado contenidas en el título ejecutivo. En el incidente se hacía mención tanto a la doctrina del Tribunal Constitucional establecida en la STC 31/2019, de 28 de febrero, como a la jurisprudencia del Tribunal de Justicia de la Unión Europea, invocando la STJUE de 26 de enero de 2017, asunto Banco Primus, S.A., y Jesús Gutiérrez García, C-421/14, e incluso la sentencia de la Gran Sala de 26 de marzo de 2019 (asuntos acumulados C-70/17 y C-179/17), a fin de que el juzgador ejerciera el control de abusividad de las cláusulas de acuerdo con dicha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incidente fue inadmitido mediante providencia del Juzgado en la que se señala que no se apreció de oficio el carácter abusivo del alguna cláusula del título antes de despachar la ejecución, y se reprocha a la actora no haber formulado oposición en su día, así como estar personada en las actuaciones desde septiembre de 2017 sin haber expresado desde entonces desacuerdo alguno con lo actuado. Asimismo, considera el juzgador que el incidente resulta extemporáneo y que la promotora del mismo no está facultada para instar incidente extraordinario de oposición a la ejecución por la presencia de cláusulas abusivas al amparo de la disposición transitoria tercera de la Ley 5/2019, de 15 de marzo, porque la ejecución se despachó con posterioridad a la entrada en vigor de la Ley 1/2013, de 14 de mayo, de modo que la ley procesal ya contemplaba la posibilidad de formular oposición a la ejecución por la presencia de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alega la vulneración del derecho a la tutela judicial efectiva (art. 24.1 CE), en su vertiente de derecho de acceso a la jurisdicción y a obtener una resolución judicial motivada, en relación con el principio de primacía del Derecho de la Unión (arts. 10.2 y 91.6 CE), el derecho a una vivienda digna (art. 47 CE) y la especial protección de los consumidores (art. 51 CE); así como la vulneración del principio de seguridad jurídica (art. 9.3 CE), por la negativa del órgano jurisdiccional a pronunciarse sobre el carácter abusivo de las cláusulas incorporadas en el contrato de préstamo hipotecario que sirvió de base al proceso de ejecución, en concreto, de la cláusula de vencimiento anticipado incluida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interposición de la demanda de amparo se solicita por otrosí la suspensión de la medida de lanzamiento del inmueble afectado por el procedimiento de ejecución, pues de materializarse esta medida el amparo solicitado perdería su finalidad, causando un daño irreparable a la recurrente que se vería privada de la que es su vivienda. Asimismo, se afirma que la suspensión de la ejecución no irrogaría perjuicio grave alguno a los intereses generales, antes al contrario, reforzaría el marco de garantías de los consumidores frente a las cláusulas abusivas incorporadas en los contratos de préstamo; ni a la esfera de los derechos y libertades de terceros, pues el adjudicatario de la vivienda no tiene necesidad de uso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septiembre de 2020, la Sección Segunda de este tribunal acordó admitir a trámite el recurso de amparo y, a su vez, dirigir comunicación al Juzgado de Primera Instancia núm. 32 de Madrid, a fin de que, en el plazo de diez días, remitiera certificación o fotocopia adverada de las actuaciones correspondientes al procedimiento de ejecución hipotecaria núm. 544-2015, previo emplazamiento de quienes hubieran sido parte en el proceso del que trae causa el presente recurso de amparo, excepto a la parte recurrente en amparo, para que pudieran comparecer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referida sección acordó formar, con el testimonio del recurso de amparo, la pieza separada de suspensión y, conforme a lo dispuesto en el art. 56 de la Ley Orgánica del Tribunal Constitucional (en adelante,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registrado el 6 de octubre de 2020, la parte recurrente presentó alegaciones, ampliando las expuestas en la demanda de amparo respecto de la solicitud de suspensión, interesando, asimismo, la anotación preventiva de la demanda de amparo en el registro de la propiedad al objeto de garantizar sus derechos frente a eventuales actos de disposición en favor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20 de octubre de 2020, presentó alegaciones manifestándose a favor de ambas medidas, tanto de la suspensión del lanzamiento de la finca adjudicada, como de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primera medida, el fiscal destaca el riesgo de que se causara un perjuicio irreparable a la recurrente, para el caso de que se otorgara el amparo, de no acordarse la suspensión del lanzamiento en estos momentos, advirtiendo de que “al tratarse de la vivienda familiar, se vería afectado un bien de indudable valor constitucional como es el derecho a una vivienda digna”. Respecto de la anotación preventiva de la demanda de amparo, califica esta medida como “[m]ucho más eficaz para conseguir el efecto protector deseado por la recurrente”, dado que con ella se daría publicidad de la pendencia del recurso frente a eventuales terceros adquirentes de buena fe,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lanzamiento de la vivienda afectada por el procedimiento de ejecución hipotecaria cuestionado y de anotación preventiva de la demanda de amparo en el registro de la propiedad, interesadas por la recurrente y respaldadas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la demandante de amparo que, de ejecutarse el lanzamiento, el amparo solicitado perdería su finalidad, causándole un daño irreparable al verse desposeída del uso de su vivienda, de ahí que se solicite la suspensión; medida que habría de completarse con la referida anotación preventiva de la demanda de amparo al objeto de evitar actos de disposición de la vivienda afectada en favor de terceros de carácter irreivindicable. En términos similares se manifiesta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(ATC 125/2019, de 28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sólo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en el muy reciente ATC 110/2020, de 21 de septiembre, nos hemos hecho eco de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aplicable a supuestos muy similares al asunto de autos, en virtud de la cual se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venimos exigiendo a quien solicita la adopción de la medida de suspensión del acto o resolución judicial recurridos que alegue, pruebe o justifique, ofreciendo un principio razonable de prueba, la irreparabilidad o la dificultad de la reparación de los perjuicios que derivarían de seguirse la ejecución del acto impugnado, ya que la ejecución del acto recurrido puede privar a la demanda de amparo de su finalidad, provocando que el restablecimiento del recurrente en el derecho constitucional vulnerado sea tardío y convirtiendo en meramente ilusorio y nominal el amparo (ATC 87/2019, de 15 de julio,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nos hemos manifestado favorablemente acerca de la posibilidad de acordar como medida cautelar la anotación preventiva de la demanda de amparo en el registro de la propiedad a efectos de evitar que el recurso de amparo pierda su finalidad. Y así en el ATC 110/2020, antes citado, hemos hecho hincapié en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 (FJ 3) . Una medida idónea “para evitar el perjuicio derivado de que la adquisición del bien por tercero lo haga irreivindicable” (ibidem).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este tribunal comparte la opinión de la recurrente y del fiscal sobre la procedencia de acordar la suspensión del lanzamiento de la vivienda afectada por la ejecución, así como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tales efectos no debe obviarse el contenido del amparo que se pretende, consistente en que se proceda por el Juzgado de Primera Instancia núm. 32 de Madrid a revisar la cláusula de vencimiento anticipado del contrato de préstamo hipotecario que ha servido de fundamento al proceso de ejecución, para que, una vez constatado su carácter abusivo, se desestime la ejecución intentada, y, consiguientemente, no se remueva a la demandante de la vivienda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esa perspectiva, no cabe sino reconocer que la práctica del lanzamiento de la recurrente de ese inmueble conllevaría un perjuicio irreparable en sí mismo si después se otorgara el amparo, pues su expulsión de la finca es uno de los efectos directos de la ejecución en curso que está siendo cuestionada en la demanda de amparo y que se trata de evitar. Aún más, y como sostiene el fiscal, al tratarse de una vivienda familiar, ello incidiría directamente en “un bien de indudable valor constitucional como es el derecho a una vivienda digna”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 efectos de evitar la pérdida de finalidad del referido amparo, consideramos especialmente idónea la anotación preventiva de la demanda de amparo en el registro de la propiedad, con lo que se soslaya el riesgo de que el inmueble pueda ser adquirido por un tercero de buena fe, con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línea con lo apuntado por la recurrente, no se aprecia que la suspensión del lanzamiento o la anotación preventiva de la demanda de amparo en el registro de la propiedad entrañen una grave perturbación de un interés constitucionalmente protegido o de los derechos y libertades de otra persona, como exige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conceder la suspensión solicitada, y, asimismo,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La suspensión cautelar del lanzamiento del inmueble adjudicado en el procedimiento de ejecución hipotecaria núm. 544-2015, que se viene tramitando por el Juzgado de Primera Instancia núm. 32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