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141</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noviembre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7506-2019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7506-2019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372-2018, seguido en el Juzgado de Primera Instancia e Instrucción núm. 4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26 de diciembre de 2019, la entidad Euroinversiones Inmobiliarias Costa Sur, S.L., representada por la procuradora de los tribunales doña Blanca Berriatua Horta y bajo la dirección del letrado don Marcelino Gilabert García, interpuso recurso de amparo contra los autos de 27 de noviembre de 2018 y de 30 de octubre de 2019, dictados por el Juzgado de Primera Instancia e Instrucción núm. 4 de Lorca, en el procedimiento de ejecución hipotecaria núm. 372-2018, por los que, respectivamente, se inadmite por extemporánea la demanda de oposición formulada y se confirma esta última decisión, tras desestimarse el recurso de reposición interpuesto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según se recogen en la demanda y en la documentación aportada,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4 de Lorca se sigue procedimiento de ejecución hipotecaria núm. 372-2018 promovido por la entidad Banco de Sabadell, S.A., frente a las sociedades Euroinversiones Inmobiliarias Costa Sur, S.L., en calidad de prestataria e hipotecante, y Penrei Inversiones, S.L., en calidad de titular registral de un derecho de uso y disfrute sobre el inmueble hipotecado, la finca registral 43317 del Registro de la Propiedad núm. 3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27 de junio de 2018 se acordó despachar ejecución frente las sociedades demandadas por la cantidad de 8877,50 € de principal y 4510 € como intereses y costas presupuestados. El servicio de notificaciones de la Fábrica Nacional de Moneda y Timbre remitió a la demandante de amparo, a través de la dirección electrónica habilitada, un aviso de notificación del citado auto que le fue comunicado por dicho medio el 29 de junio de 2018. En dicha comunicación se informa que la notificación estará disponible hasta el 31 de agosto del mismo año, accediendo la recurrente de amparo efectivamente a la página web y a la notificación dentro del plazo en que la misma se encontraba disponible.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representación legal de Penrei Inversiones, S.L., presentó escrito de oposición a la ejecución despachada con fecha 31 de agosto de 2018. Por auto de 27 de noviembre de 2018 se acordó su inadmisión por considerar la pretensión extemporánea, tomando como fecha de notificación el 29 de junio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contra el auto de inadmisión alegando, en síntesis, que las actuaciones de notificación y requerimiento no habían sido realizadas el día 29 de junio de 2018, sino el 3 de agosto, la fecha en que accedió a la web y procedió a su descarga, y que la comunicación remitida a través de la dirección electrónica habilitada no puede entenderse más que un aviso de puesta a disposición o descarga de su contenido durante un plazo determinado (en el caso desde el 29 de junio hasta el 31 de agosto de 2018), pues entenderlo de otro modo, además de infringir los arts. 135, 152, 160, 162 de la Ley de enjuiciamiento civil (LEC), vulnera 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Tras su tramitación, el recurso de reposición fue desestimado por auto de 30 de octubre de 2019. Según esta resolución, la recurrente tiene la condición de persona jurídica y, por tanto, está obligada a relacionarse con la administración de justicia por medios electrónicos. “Así, pese a las alegaciones del recurrente que pretende mantener que el escrito de oposición fue presentado en plazo para ello por entender que el auto despachando la ejecución y el requerimiento efectuado debe entenderse notificado en fecha 3 de agosto de 2018, en la que se accedió efectivamente a las citadas resoluciones, lo cierto es que debe tenerse en cuenta la fecha en la que efectivamente tuvo la parte posibilidad de acceder a las mismas, de lo contrario se estaría dejando al arbitrio de las partes obligadas a utilizar el sistema electrónico de comunicaciones el cumplimiento de los plazos procesales dispuesto en la normativa” [sic].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 en su vertiente de acceso al proceso. Considera que con la interpretación ofrecida en el auto objeto de impugnación, el juzgado “no ha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sólo dirigido al legislador, sino también al intérprete, obligándole a promover la defensa mediante la correspondiente contradicción, tal y como reconoce la sentencia 37/1984 del Tribunal Constitucional”. Justifica la especial trascendencia constitucional aludiendo a la novedosa implantación de procesos de notificación por medios electrónicos en el ámbito de la jurisdicción civil en relación con las exigencias procesales derivadas de la regulación de la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segundo otrosí la suspensión de la continuación del procedimiento de ejecución hipotecaria alegando que “con la celebración de subasta y la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15 de junio de 2020 la Sección Segunda de este tribunal acordó no admitir a trámite el recurso de amparo por no apreciar en el mismo la especial trascendencia constitucional que, como condición para su admisión, requiere el art. 50.1 b) de la Ley Orgánica del Tribunal Constitucional (LOTC) (STC 155/2009, de 25 de junio, FJ 2). Dicha providencia se dejó sin efecto en virtud del auto de 18 de septiembre de 2020 que estimó el recurso de súplica interpuesto contra la misma por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sendas providencias de 21 de septiembre de 2020 la Sección Segunda de este tribunal acordó admitir a trámite el recurso de amparo y dirigir comunicación al Juzgado de Primera Instancia e Instrucción núm. 4 de Lorca, a fin de que, en plazo que no exceda de diez días, remitiera certificación o fotocopia adverada de las actuaciones correspondientes a los autos de ejecución hipotecaria y emplazara por el mismo plazo a quienes hubieran sido parte en el proceso del que trae causa el presente recurso de amparo; por otra parte se acordaba formar pieza separada para la tramitación de la suspensión del procedimiento de ejecución hipotecaria solicitada en el recurso y conceder plazo común de tres días al Ministerio Fiscal y al solicitante de amparo de conformidad con lo prevenido en el art. 56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7 de octubre de 2020 la parte demandante formuló sus alegaciones, reiterando lo expuesto en el otrosí de su demanda y trascribiendo como fundamento de su pretensión lo expresado en parte de los AATC 21/2018, de 5 de marzo, 58/2018, de 4 de junio y 117/2018, de 29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el 22 de octubre de 2020, el Ministerio Fiscal se opuso a la pretendida suspensión del procedimiento de ejecución hipotecaria, e interesó que, alternativamente, se acuerde la anotación preventiva de la demanda de amparo en el registro de la propiedad, aunque esta última medida no haya sido solicitada en el recurso. Tras exponer la doctrina de este Tribunal sobre suspensión de resoluciones y actos impugnados, aduce que en el presente caso la petición del demandante no parece muy fundada, sostiene que acordar la suspensión comportaría la paralización del procedimiento ejecutivo, que por su propia naturaleza goza de las características de celeridad y sumariedad. Considera mucho más eficaz la anotación preventiva de la demanda en el registro de la propiedad, pues a través de dicha medida cautelar es posible evitar que un hipotético tercer adquirente del inmueble hipotecado, en virtud de su buena fe registral, quede especialmente protegido, perjudicando así los intereses concernidos.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suspensión cautelar instada por la parte recurrente en amparo y dirigida frente al procedimiento de ejecución hipotecaria núm. 372-2018, seguido en el Juzgado de Primera Instancia e Instrucción núm. 4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Por esta razón, la pretensión cautelar analizada se configura como una medida de carácter excepcional y de aplicación restrictiva (por todos, AATC 117/2015, de 6 de julio, FJ 1; 59/2017, de 24 de abril, FJ 1, y 177/2019, de 16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FJ 1; 147/2017, de 13 de noviembre, FJ 1, y 177/2019,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282/2014, de 17 de noviembre, FJ 4; 59/2015, de 16 de marzo, FJ 2, y 177/2019,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a la que se ha hecho mención permite concluir, de acuerdo con lo solicitado por el Ministerio Fiscal, que resulta improcedente la suspensión solicitada del procedimiento de ejecución hipotecaria y, por el contrario,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igual que en procesos de amparo precedentes (AATC 81/2019, de 15 de julio; 148/2019, 155/2019 y 156/2019, de 25 de noviembre, FJ 3, y 170/2019, 171/2019, 173/2019, 174/2019 y 177/2019 de 16 de diciembre, FJ 3), 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De las actuaciones judiciales que han sido remitidas por el juzgado se desprende que al solicitarse el amparo el procedimiento se encontraba en la fase inicial, una vez rechazada la oposición a la ejecución. En tales circunstancias no es posible afirmar que la continuación del curso del procedimiento judicial, incluso si se produjera un desplazamiento posesorio, provoque por sí sola un perjuicio determinante de la perdida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como se anticipó, se reputa medida suficiente e idónea para evitar el perjuicio derivado de que la adquisición del bien por tercero lo haga irreivindicable. Esta misma ha sido la solución acogida recientemente, entre otros, en los AATC 148/2019, 155/2019 y 156/2019, FJ 3, y 170/2019, 171/2019, 173/2019, 174/2019 y 177/2019,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hicimos en el fundamento tercero de los mencionados autos, 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FJ 4, “una de cuyas finalidades es que el registro de la propiedad sea fiel trasunto de la realidad jurídica —en este caso, la pendencia del presente proceso constitucional—y,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372-2018, seguido en el Juzgado de Primera Instancia e Instrucción núm. 4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noviembre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