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7508-2019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7508-2019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367-2018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diciembre de 2019, la procuradora de los tribunales doña Blanca Berriatua Horta, en nombre y representación de la entidad Euroinversiones Inmobiliarias Costa Sur, S.L., y bajo la dirección del letrado don Marcelino Gilabert García, interpuso recurso de amparo contra el auto del Juzgado de Primera Instancia e Instrucción núm. 4 de Lorca de 30 de octubre de 2019, por el que se desestima el recurso de reposición interpuesto contra el auto de 14 de diciembre de 2018, por el que se inadmite el escrito de oposición a la ejecución hipotecaria en el procedimiento de ejecución hipotecaria núm. 367-2018.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hipotecaria alegando que “la continuación de la ejecución derivada de los pronunciamientos judiciales que han sido objeto de impugnación,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15 de octubre de 2020,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5 de noviembre de 2020, presentó alegaciones interesando que se deniegue la suspensión pero que se acuerde la anotación preventiva de la demanda de amparo, argumentando que la petición no aparece muy fundamentada y que el efecto protector deseado por la entidad demandante frente a la posible adjudicación a un tercero de buena fe del bien subastado se obtendría de manera mucho más eficaz mediante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entidad demandante, por escrito registrado el 28 de octubre de 2020, presentó alegaciones reiterando su solicitud de suspensión, insistiendo en que con la celebración de subasta y la eventual adjudicación a terceros o a la entidad ejecutante el recurso de amparo perdería su finalidad y le provocaría perjuicios patrimoniales de imposible o difícil reparación. También pone de manifiesto que la posible adjudicación del bien inmueble a terceros de buena fe llevaría a situaciones irreversibles.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367-2018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(así,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un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entre otros, en los AATC 106/2017, de 17 de julio, FJ 3; 88/2018, de 17 de septiembre, FJ 5; 2/2019, de 9 de enero, FJ 4, y 85/2019, de 15 de julio, a propósito de otros procedimientos hipotecarios, donde se plantearon los mismos argumentos que aquí para solicitar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medida cautelar que el tribunal, de conformidad con el art. 56 LOTC, puede adoptar de oficio o a instancia de parte, con fundamento en el art. 42.1 de la Ley hipotecaria, y,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367-2018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