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7578-2019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7578-2019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361-2018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diciembre de 2019, tuvo entrada en el registro general de este Tribunal Constitucional un escrito de la procuradora doña Blanca Berriatua Horta, en representación de la entidad Euroinversiones Inmobiliarias Costa Sur, S.L., por el que interpuso recurso de amparo contra el auto de 20 de noviembre de 2018, del Juzgado de Primera Instancia e Instrucción núm. 4 de Lorca, que inadmitió el escrito de oposición a la ejecución hipotecaria promovida por Banco de Sabadell, S.A., y contra el auto del mismo Juzgado, de 11 de noviembre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20 de noviembre de 2018, el juzgado de primera instancia e instrucción ya indicado dictó un auto en el procedimiento de ejecución hipotecaria núm. 361-2018 por el que acordó: “Inadmitir a trámite la oposición formulada por la parte ejecutada Euroinversiones Inmobiliarias Costa Sur, S.L., y Penrei Inversiones, S.L., […] por estar presentada fuera de plazo”, advirtiendo en pie de recurso, por error, que contra dicha resolución cabía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de la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lo admitió a trámite, dictando auto el 11 de noviembre de 2019 en sentido desestimatorio, con confirmación de la resolución recurrida, en virtud de los motivos expresados en su fundamento de Derecho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ser desestimado el recurso de reposición interpuesto por ser el auto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deben entenderse notificados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de la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27/06/2018,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“Contra este auto no cabe recurso alguno, sin perjuicio de reproducir la cuestión objeto de la reposición al recurrir, si fuera posible, la resolución definitiva (artículo 454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20 de noviembre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es importante hacer mención a la “recientísima sentencia del Tribunal Constitucional STC 47/2019, de 8 de abril de 2019, que no solo confirma todo lo dicho hasta ahora en el presente recurso de amparo, sino que lo refuerza, en el sentido de que en modo alguno debe entenderse que, tratándose del emplazamiento, este no se efectúe en el domicilio como impone el artículo 155.1 de la Ley de enjuiciamiento civil”, sin que a ello obste la argumentación dada por el auto que inadmite la oposición; pasando a reproducir pasajes de los fundamentos jurídicos 2 a 5 de dicha STC 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11 de noviembre de 2019 que desestimó la reposición, se rechaza por la recurrente que los preceptos citados por el juzgado fundamenten su decisión, en cuanto “no es menos cierto que, en ningún precepto de la Ley de enjuiciamiento civil se diga que al proceso civil se le aplican las normas del proceso administrativo, ni existe ningún precepto en ninguna otra norma que otorgue a la normativa del proceso administrativo el mismo rango o aplicabilidad que puedan tener la norma procesal civil, la penal, la contencioso-administrativa o la social, que disponen de regulación específica a través de normas concretas, puesto que, mientras la administrativa regula un tipo de procedimiento específico, las otras hacen referencia a procesos que se plantean ante Tribunales de Justicia, que aunque forman parte de la ‘administración’, tienen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 hacer perder al recurso de amparo su finalidad”, por lo que solicita “la suspensión de la continuación del procedimiento de ejecución hipotecaria 361-2018 seguido ante el Juzgado de Primera Instancia e Instrucción número 4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14 de enero de 2020 solicitando al juzgado a quo la remisión de certificación o fotocopia adverada de las actuaciones correspondientes del procedimiento de ejecución hipotecaria núm. 361-2018.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4 de noviembre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 los siguientes motivos: 1.- El recurso plantea un problema o afecta a una faceta de un derecho fundamental sobre el que no hay doctrina de este tribunal [STC 155/2009, FJ 2 a)]. 2.-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habiéndose interesado anteriormente la remisión de copia testimoniada de la ejecución hipotecaria 361-2018, en aplicación de lo dispuesto en el artículo 51 de la Ley Orgánica de este Tribunal, diríjase atenta comunicación al Juzgado de Primera Instancia e Instrucción núm. 4 de Lorca a fin de que, en plazo que no exceda de diez días, se proceda a emplazar a quienes hubieran sido parte en el procedimiento,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4 de noviembre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12 de noviembre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 perder al recurso de amparo su finalidad y provocaría perjuicios patrimoniales para mi representada de imposible o difícil reparación”. Invoca a su favor lo resuelto por este tribunal en sus AATC 21/2018, de 5 de marzo, y 58/2018, de 4 de junio, reiterando a renglón seguido las vulneraciones constitucionales de fondo que aduce en su demanda, e indicando que de no adoptarse la medida y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fiscal ante este Tribunal Constitucional formalizó su escrito de alegaciones en esta pieza el 16 de noviembre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de la Ley Orgánica del Tribunal Constitucional (LOTC) y doctrina general sobre la improcedencia de la suspensión del acto impugnado, excepto en situaciones de daños irreparables y siempre que la suspensión no cause las perturbaciones graves que refiere dicho precepto, con cita del ATC 127/2015, de 27 de julio, FJ 1, señala el escrito que la entidad recurrente solicita la suspensión del procedimiento ejecutivo “sin explicitar ninguna razón que permita afirmar que la continuación del procedimiento judicial incluso con desplazamiento posesorio, provoque un perjuicio determinante de la pérdida de la finalidad del recurso de amparo”; por lo que no ha de accederse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continúa diciendo, “para conseguir el efecto protector deseado por la recurrente y enervar los indeseables efectos de la paralización del procedimiento que por su propia naturaleza goza de las características de celeridad y sumariedad, se puede acordar la anotación preventiva de la demanda de amparo en el registro de la propiedad, ya que de esta manera se daría publicidad frente a terceros de la pendencia del recurso, lo que conlleva el conocimiento de los efectos que sobre la titularidad de la finca puede tener el otorgamiento del amparo en su caso, evitando que el hipotético tercero adquirente quede especialmente protegido por su buena fe en la adquisición”. Añade que se trata esta última de una medida que el tribunal puede adoptar ex art. 56.3 LOTC, incluso de oficio, con cita del ATC 2/2019, de 9 de enero, FJ 4, que reproduce. Considera la fiscal que en este caso “la tutela que pudiera otorgarse por este tribunal no sería completa si se deja abierta la posibilidad de que la finca sea transmitida a un tercero de buena fe mientras se sustancia y resuelve el presente proceso de amparo, por lo que se interesa la anotación preventiva de la demanda en el registro de la propiedad, evitando así situaciones cuya reversibilidad seria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361-2018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la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Euroinversiones Inmobiliarias Costa Sur,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361-2018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